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152237" w14:textId="6B8B74B7" w:rsidR="00A06448" w:rsidRPr="00413089" w:rsidRDefault="00A06448" w:rsidP="00FB23C2">
      <w:pPr>
        <w:pStyle w:val="SRNadpisseitu"/>
      </w:pPr>
    </w:p>
    <w:p w14:paraId="17CE8022" w14:textId="77777777" w:rsidR="00A06448" w:rsidRPr="00413089" w:rsidRDefault="00A06448" w:rsidP="00A06448">
      <w:pPr>
        <w:pStyle w:val="SRNadpisseitu"/>
        <w:spacing w:before="300"/>
      </w:pPr>
    </w:p>
    <w:p w14:paraId="5D2D1A44" w14:textId="5CC401B2" w:rsidR="005B4859" w:rsidRPr="00972808" w:rsidRDefault="0016405E" w:rsidP="00A06448">
      <w:pPr>
        <w:pStyle w:val="SRNadpisseitu"/>
        <w:spacing w:before="300"/>
      </w:pPr>
      <w:r w:rsidRPr="00972808">
        <w:t xml:space="preserve">Zpráva </w:t>
      </w:r>
      <w:r w:rsidR="000061B1" w:rsidRPr="00972808">
        <w:t>k</w:t>
      </w:r>
      <w:r w:rsidR="001432C5" w:rsidRPr="00972808">
        <w:t xml:space="preserve"> návrhu </w:t>
      </w:r>
      <w:r w:rsidR="00F503AC" w:rsidRPr="00972808">
        <w:t>zákon</w:t>
      </w:r>
      <w:r w:rsidR="001432C5" w:rsidRPr="00972808">
        <w:t>a</w:t>
      </w:r>
      <w:r w:rsidR="00250716" w:rsidRPr="00972808">
        <w:t xml:space="preserve"> o </w:t>
      </w:r>
      <w:r w:rsidRPr="00972808">
        <w:t xml:space="preserve">státním rozpočtu České republiky </w:t>
      </w:r>
    </w:p>
    <w:p w14:paraId="68165E68" w14:textId="23E150EB" w:rsidR="002B367F" w:rsidRPr="00972808" w:rsidRDefault="0016405E" w:rsidP="00A06448">
      <w:pPr>
        <w:pStyle w:val="SRNadpisseitu"/>
        <w:spacing w:before="300"/>
        <w:sectPr w:rsidR="002B367F" w:rsidRPr="00972808" w:rsidSect="008947DE">
          <w:footerReference w:type="even" r:id="rId8"/>
          <w:footerReference w:type="default" r:id="rId9"/>
          <w:pgSz w:w="11906" w:h="16838" w:code="9"/>
          <w:pgMar w:top="1134" w:right="1134" w:bottom="1134" w:left="1134" w:header="709" w:footer="709" w:gutter="0"/>
          <w:pgNumType w:start="0"/>
          <w:cols w:space="708"/>
          <w:titlePg/>
          <w:docGrid w:linePitch="360"/>
        </w:sectPr>
      </w:pPr>
      <w:r w:rsidRPr="00972808">
        <w:t>na rok 20</w:t>
      </w:r>
      <w:r w:rsidR="00EE36F6" w:rsidRPr="00972808">
        <w:t>2</w:t>
      </w:r>
      <w:r w:rsidR="001432C5" w:rsidRPr="00972808">
        <w:t>7</w:t>
      </w:r>
    </w:p>
    <w:p w14:paraId="3D30B59D" w14:textId="77777777" w:rsidR="00A95EDA" w:rsidRPr="00972808" w:rsidRDefault="00A95EDA" w:rsidP="00FB23C2">
      <w:pPr>
        <w:pStyle w:val="SRNadpisseitu"/>
        <w:rPr>
          <w:sz w:val="24"/>
        </w:rPr>
      </w:pPr>
    </w:p>
    <w:p w14:paraId="10B42F37" w14:textId="77777777" w:rsidR="00601622" w:rsidRPr="00972808" w:rsidRDefault="00601622" w:rsidP="00601622">
      <w:pPr>
        <w:pStyle w:val="SRNadpismal"/>
      </w:pPr>
      <w:r w:rsidRPr="00972808">
        <w:lastRenderedPageBreak/>
        <w:t>Obsah</w:t>
      </w:r>
    </w:p>
    <w:p w14:paraId="2FB9AD0C" w14:textId="3D795F46" w:rsidR="00344480" w:rsidRDefault="00C65AA3">
      <w:pPr>
        <w:pStyle w:val="Obsah1"/>
        <w:rPr>
          <w:rFonts w:asciiTheme="minorHAnsi" w:eastAsiaTheme="minorEastAsia" w:hAnsiTheme="minorHAnsi" w:cstheme="minorBidi"/>
          <w:b w:val="0"/>
          <w:kern w:val="2"/>
          <w:sz w:val="24"/>
          <w:szCs w:val="24"/>
          <w14:ligatures w14:val="standardContextual"/>
        </w:rPr>
      </w:pPr>
      <w:r w:rsidRPr="00972808">
        <w:fldChar w:fldCharType="begin"/>
      </w:r>
      <w:r w:rsidRPr="00972808">
        <w:instrText xml:space="preserve"> TOC \h \z \t "Styl Nadpis 1 bez čísla;1;Úvod;1;SR_Nadpis 1;1;SR_Nadpis 2;2;SR_Nadpis 3;3;SR_Nadpis příloh;2" </w:instrText>
      </w:r>
      <w:r w:rsidRPr="00972808">
        <w:fldChar w:fldCharType="separate"/>
      </w:r>
      <w:hyperlink w:anchor="_Toc239067802" w:history="1">
        <w:r w:rsidR="00344480" w:rsidRPr="00F85774">
          <w:rPr>
            <w:rStyle w:val="Hypertextovodkaz"/>
          </w:rPr>
          <w:t>1</w:t>
        </w:r>
        <w:r w:rsidR="00344480">
          <w:rPr>
            <w:rFonts w:asciiTheme="minorHAnsi" w:eastAsiaTheme="minorEastAsia" w:hAnsiTheme="minorHAnsi" w:cstheme="minorBidi"/>
            <w:b w:val="0"/>
            <w:kern w:val="2"/>
            <w:sz w:val="24"/>
            <w:szCs w:val="24"/>
            <w14:ligatures w14:val="standardContextual"/>
          </w:rPr>
          <w:tab/>
        </w:r>
        <w:r w:rsidR="00344480" w:rsidRPr="00F85774">
          <w:rPr>
            <w:rStyle w:val="Hypertextovodkaz"/>
          </w:rPr>
          <w:t>Východiska a priority státního rozpočtu na rok 2027</w:t>
        </w:r>
        <w:r w:rsidR="00344480">
          <w:rPr>
            <w:webHidden/>
          </w:rPr>
          <w:tab/>
        </w:r>
        <w:r w:rsidR="00344480">
          <w:rPr>
            <w:webHidden/>
          </w:rPr>
          <w:fldChar w:fldCharType="begin"/>
        </w:r>
        <w:r w:rsidR="00344480">
          <w:rPr>
            <w:webHidden/>
          </w:rPr>
          <w:instrText xml:space="preserve"> PAGEREF _Toc239067802 \h </w:instrText>
        </w:r>
        <w:r w:rsidR="00344480">
          <w:rPr>
            <w:webHidden/>
          </w:rPr>
        </w:r>
        <w:r w:rsidR="00344480">
          <w:rPr>
            <w:webHidden/>
          </w:rPr>
          <w:fldChar w:fldCharType="separate"/>
        </w:r>
        <w:r w:rsidR="00344480">
          <w:rPr>
            <w:webHidden/>
          </w:rPr>
          <w:t>6</w:t>
        </w:r>
        <w:r w:rsidR="00344480">
          <w:rPr>
            <w:webHidden/>
          </w:rPr>
          <w:fldChar w:fldCharType="end"/>
        </w:r>
      </w:hyperlink>
    </w:p>
    <w:p w14:paraId="0130802D" w14:textId="357E954B"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03" w:history="1">
        <w:r w:rsidRPr="00F85774">
          <w:rPr>
            <w:rStyle w:val="Hypertextovodkaz"/>
            <w:noProof/>
          </w:rPr>
          <w:t>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Východiska</w:t>
        </w:r>
        <w:r>
          <w:rPr>
            <w:noProof/>
            <w:webHidden/>
          </w:rPr>
          <w:tab/>
        </w:r>
        <w:r>
          <w:rPr>
            <w:noProof/>
            <w:webHidden/>
          </w:rPr>
          <w:fldChar w:fldCharType="begin"/>
        </w:r>
        <w:r>
          <w:rPr>
            <w:noProof/>
            <w:webHidden/>
          </w:rPr>
          <w:instrText xml:space="preserve"> PAGEREF _Toc239067803 \h </w:instrText>
        </w:r>
        <w:r>
          <w:rPr>
            <w:noProof/>
            <w:webHidden/>
          </w:rPr>
        </w:r>
        <w:r>
          <w:rPr>
            <w:noProof/>
            <w:webHidden/>
          </w:rPr>
          <w:fldChar w:fldCharType="separate"/>
        </w:r>
        <w:r>
          <w:rPr>
            <w:noProof/>
            <w:webHidden/>
          </w:rPr>
          <w:t>6</w:t>
        </w:r>
        <w:r>
          <w:rPr>
            <w:noProof/>
            <w:webHidden/>
          </w:rPr>
          <w:fldChar w:fldCharType="end"/>
        </w:r>
      </w:hyperlink>
    </w:p>
    <w:p w14:paraId="3CB1F785" w14:textId="23F7E8AD"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04" w:history="1">
        <w:r w:rsidRPr="00F85774">
          <w:rPr>
            <w:rStyle w:val="Hypertextovodkaz"/>
            <w:noProof/>
          </w:rPr>
          <w:t>1.2</w:t>
        </w:r>
        <w:r>
          <w:rPr>
            <w:rFonts w:asciiTheme="minorHAnsi" w:eastAsiaTheme="minorEastAsia" w:hAnsiTheme="minorHAnsi" w:cstheme="minorBidi"/>
            <w:noProof/>
            <w:kern w:val="2"/>
            <w:sz w:val="24"/>
            <w:szCs w:val="24"/>
            <w14:ligatures w14:val="standardContextual"/>
          </w:rPr>
          <w:tab/>
        </w:r>
        <w:r w:rsidRPr="00F85774">
          <w:rPr>
            <w:rStyle w:val="Hypertextovodkaz"/>
            <w:noProof/>
          </w:rPr>
          <w:t>Rozpočtové priority návrhu státního rozpočtu na rok 2027</w:t>
        </w:r>
        <w:r>
          <w:rPr>
            <w:noProof/>
            <w:webHidden/>
          </w:rPr>
          <w:tab/>
        </w:r>
        <w:r>
          <w:rPr>
            <w:noProof/>
            <w:webHidden/>
          </w:rPr>
          <w:fldChar w:fldCharType="begin"/>
        </w:r>
        <w:r>
          <w:rPr>
            <w:noProof/>
            <w:webHidden/>
          </w:rPr>
          <w:instrText xml:space="preserve"> PAGEREF _Toc239067804 \h </w:instrText>
        </w:r>
        <w:r>
          <w:rPr>
            <w:noProof/>
            <w:webHidden/>
          </w:rPr>
        </w:r>
        <w:r>
          <w:rPr>
            <w:noProof/>
            <w:webHidden/>
          </w:rPr>
          <w:fldChar w:fldCharType="separate"/>
        </w:r>
        <w:r>
          <w:rPr>
            <w:noProof/>
            <w:webHidden/>
          </w:rPr>
          <w:t>6</w:t>
        </w:r>
        <w:r>
          <w:rPr>
            <w:noProof/>
            <w:webHidden/>
          </w:rPr>
          <w:fldChar w:fldCharType="end"/>
        </w:r>
      </w:hyperlink>
    </w:p>
    <w:p w14:paraId="12717380" w14:textId="1449763A"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05" w:history="1">
        <w:r w:rsidRPr="00F85774">
          <w:rPr>
            <w:rStyle w:val="Hypertextovodkaz"/>
          </w:rPr>
          <w:t>2</w:t>
        </w:r>
        <w:r>
          <w:rPr>
            <w:rFonts w:asciiTheme="minorHAnsi" w:eastAsiaTheme="minorEastAsia" w:hAnsiTheme="minorHAnsi" w:cstheme="minorBidi"/>
            <w:b w:val="0"/>
            <w:kern w:val="2"/>
            <w:sz w:val="24"/>
            <w:szCs w:val="24"/>
            <w14:ligatures w14:val="standardContextual"/>
          </w:rPr>
          <w:tab/>
        </w:r>
        <w:r w:rsidRPr="00F85774">
          <w:rPr>
            <w:rStyle w:val="Hypertextovodkaz"/>
          </w:rPr>
          <w:t>Souhrnné údaje o příjmech, výdajích a saldu státního rozpočtu na rok 2027</w:t>
        </w:r>
        <w:r>
          <w:rPr>
            <w:webHidden/>
          </w:rPr>
          <w:tab/>
        </w:r>
        <w:r>
          <w:rPr>
            <w:webHidden/>
          </w:rPr>
          <w:fldChar w:fldCharType="begin"/>
        </w:r>
        <w:r>
          <w:rPr>
            <w:webHidden/>
          </w:rPr>
          <w:instrText xml:space="preserve"> PAGEREF _Toc239067805 \h </w:instrText>
        </w:r>
        <w:r>
          <w:rPr>
            <w:webHidden/>
          </w:rPr>
        </w:r>
        <w:r>
          <w:rPr>
            <w:webHidden/>
          </w:rPr>
          <w:fldChar w:fldCharType="separate"/>
        </w:r>
        <w:r>
          <w:rPr>
            <w:webHidden/>
          </w:rPr>
          <w:t>7</w:t>
        </w:r>
        <w:r>
          <w:rPr>
            <w:webHidden/>
          </w:rPr>
          <w:fldChar w:fldCharType="end"/>
        </w:r>
      </w:hyperlink>
    </w:p>
    <w:p w14:paraId="2568ADB3" w14:textId="53487DFF"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06" w:history="1">
        <w:r w:rsidRPr="00F85774">
          <w:rPr>
            <w:rStyle w:val="Hypertextovodkaz"/>
          </w:rPr>
          <w:t>3</w:t>
        </w:r>
        <w:r>
          <w:rPr>
            <w:rFonts w:asciiTheme="minorHAnsi" w:eastAsiaTheme="minorEastAsia" w:hAnsiTheme="minorHAnsi" w:cstheme="minorBidi"/>
            <w:b w:val="0"/>
            <w:kern w:val="2"/>
            <w:sz w:val="24"/>
            <w:szCs w:val="24"/>
            <w14:ligatures w14:val="standardContextual"/>
          </w:rPr>
          <w:tab/>
        </w:r>
        <w:r w:rsidRPr="00F85774">
          <w:rPr>
            <w:rStyle w:val="Hypertextovodkaz"/>
          </w:rPr>
          <w:t>Detailní pohled na příjmy</w:t>
        </w:r>
        <w:r>
          <w:rPr>
            <w:webHidden/>
          </w:rPr>
          <w:tab/>
        </w:r>
        <w:r>
          <w:rPr>
            <w:webHidden/>
          </w:rPr>
          <w:fldChar w:fldCharType="begin"/>
        </w:r>
        <w:r>
          <w:rPr>
            <w:webHidden/>
          </w:rPr>
          <w:instrText xml:space="preserve"> PAGEREF _Toc239067806 \h </w:instrText>
        </w:r>
        <w:r>
          <w:rPr>
            <w:webHidden/>
          </w:rPr>
        </w:r>
        <w:r>
          <w:rPr>
            <w:webHidden/>
          </w:rPr>
          <w:fldChar w:fldCharType="separate"/>
        </w:r>
        <w:r>
          <w:rPr>
            <w:webHidden/>
          </w:rPr>
          <w:t>11</w:t>
        </w:r>
        <w:r>
          <w:rPr>
            <w:webHidden/>
          </w:rPr>
          <w:fldChar w:fldCharType="end"/>
        </w:r>
      </w:hyperlink>
    </w:p>
    <w:p w14:paraId="3BDC6858" w14:textId="3BA995B8"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07" w:history="1">
        <w:r w:rsidRPr="00F85774">
          <w:rPr>
            <w:rStyle w:val="Hypertextovodkaz"/>
            <w:noProof/>
          </w:rPr>
          <w:t>3.1</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Daňové příjmy</w:t>
        </w:r>
        <w:r>
          <w:rPr>
            <w:noProof/>
            <w:webHidden/>
          </w:rPr>
          <w:tab/>
        </w:r>
        <w:r>
          <w:rPr>
            <w:noProof/>
            <w:webHidden/>
          </w:rPr>
          <w:fldChar w:fldCharType="begin"/>
        </w:r>
        <w:r>
          <w:rPr>
            <w:noProof/>
            <w:webHidden/>
          </w:rPr>
          <w:instrText xml:space="preserve"> PAGEREF _Toc239067807 \h </w:instrText>
        </w:r>
        <w:r>
          <w:rPr>
            <w:noProof/>
            <w:webHidden/>
          </w:rPr>
        </w:r>
        <w:r>
          <w:rPr>
            <w:noProof/>
            <w:webHidden/>
          </w:rPr>
          <w:fldChar w:fldCharType="separate"/>
        </w:r>
        <w:r>
          <w:rPr>
            <w:noProof/>
            <w:webHidden/>
          </w:rPr>
          <w:t>12</w:t>
        </w:r>
        <w:r>
          <w:rPr>
            <w:noProof/>
            <w:webHidden/>
          </w:rPr>
          <w:fldChar w:fldCharType="end"/>
        </w:r>
      </w:hyperlink>
    </w:p>
    <w:p w14:paraId="119BDA47" w14:textId="2C92A071"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08" w:history="1">
        <w:r w:rsidRPr="00F85774">
          <w:rPr>
            <w:rStyle w:val="Hypertextovodkaz"/>
            <w:noProof/>
            <w14:scene3d>
              <w14:camera w14:prst="orthographicFront"/>
              <w14:lightRig w14:rig="threePt" w14:dir="t">
                <w14:rot w14:lat="0" w14:lon="0" w14:rev="0"/>
              </w14:lightRig>
            </w14:scene3d>
          </w:rPr>
          <w:t>3.1.1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Vývoj daňové kvóty</w:t>
        </w:r>
        <w:r>
          <w:rPr>
            <w:noProof/>
            <w:webHidden/>
          </w:rPr>
          <w:tab/>
        </w:r>
        <w:r>
          <w:rPr>
            <w:noProof/>
            <w:webHidden/>
          </w:rPr>
          <w:fldChar w:fldCharType="begin"/>
        </w:r>
        <w:r>
          <w:rPr>
            <w:noProof/>
            <w:webHidden/>
          </w:rPr>
          <w:instrText xml:space="preserve"> PAGEREF _Toc239067808 \h </w:instrText>
        </w:r>
        <w:r>
          <w:rPr>
            <w:noProof/>
            <w:webHidden/>
          </w:rPr>
        </w:r>
        <w:r>
          <w:rPr>
            <w:noProof/>
            <w:webHidden/>
          </w:rPr>
          <w:fldChar w:fldCharType="separate"/>
        </w:r>
        <w:r>
          <w:rPr>
            <w:noProof/>
            <w:webHidden/>
          </w:rPr>
          <w:t>12</w:t>
        </w:r>
        <w:r>
          <w:rPr>
            <w:noProof/>
            <w:webHidden/>
          </w:rPr>
          <w:fldChar w:fldCharType="end"/>
        </w:r>
      </w:hyperlink>
    </w:p>
    <w:p w14:paraId="23119542" w14:textId="7C866BD0"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09" w:history="1">
        <w:r w:rsidRPr="00F85774">
          <w:rPr>
            <w:rStyle w:val="Hypertextovodkaz"/>
            <w:noProof/>
            <w14:scene3d>
              <w14:camera w14:prst="orthographicFront"/>
              <w14:lightRig w14:rig="threePt" w14:dir="t">
                <w14:rot w14:lat="0" w14:lon="0" w14:rev="0"/>
              </w14:lightRig>
            </w14:scene3d>
          </w:rPr>
          <w:t>3.1.2</w:t>
        </w:r>
        <w:r>
          <w:rPr>
            <w:rFonts w:asciiTheme="minorHAnsi" w:eastAsiaTheme="minorEastAsia" w:hAnsiTheme="minorHAnsi" w:cstheme="minorBidi"/>
            <w:noProof/>
            <w:kern w:val="2"/>
            <w:sz w:val="24"/>
            <w:szCs w:val="24"/>
            <w14:ligatures w14:val="standardContextual"/>
          </w:rPr>
          <w:tab/>
        </w:r>
        <w:r w:rsidRPr="00F85774">
          <w:rPr>
            <w:rStyle w:val="Hypertextovodkaz"/>
            <w:noProof/>
          </w:rPr>
          <w:t>Celková predikce daňových příjmů</w:t>
        </w:r>
        <w:r>
          <w:rPr>
            <w:noProof/>
            <w:webHidden/>
          </w:rPr>
          <w:tab/>
        </w:r>
        <w:r>
          <w:rPr>
            <w:noProof/>
            <w:webHidden/>
          </w:rPr>
          <w:fldChar w:fldCharType="begin"/>
        </w:r>
        <w:r>
          <w:rPr>
            <w:noProof/>
            <w:webHidden/>
          </w:rPr>
          <w:instrText xml:space="preserve"> PAGEREF _Toc239067809 \h </w:instrText>
        </w:r>
        <w:r>
          <w:rPr>
            <w:noProof/>
            <w:webHidden/>
          </w:rPr>
        </w:r>
        <w:r>
          <w:rPr>
            <w:noProof/>
            <w:webHidden/>
          </w:rPr>
          <w:fldChar w:fldCharType="separate"/>
        </w:r>
        <w:r>
          <w:rPr>
            <w:noProof/>
            <w:webHidden/>
          </w:rPr>
          <w:t>13</w:t>
        </w:r>
        <w:r>
          <w:rPr>
            <w:noProof/>
            <w:webHidden/>
          </w:rPr>
          <w:fldChar w:fldCharType="end"/>
        </w:r>
      </w:hyperlink>
    </w:p>
    <w:p w14:paraId="7497D90B" w14:textId="5E15AA7C"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0" w:history="1">
        <w:r w:rsidRPr="00F85774">
          <w:rPr>
            <w:rStyle w:val="Hypertextovodkaz"/>
            <w:noProof/>
            <w14:scene3d>
              <w14:camera w14:prst="orthographicFront"/>
              <w14:lightRig w14:rig="threePt" w14:dir="t">
                <w14:rot w14:lat="0" w14:lon="0" w14:rev="0"/>
              </w14:lightRig>
            </w14:scene3d>
          </w:rPr>
          <w:t>3.1.3</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 z přidané hodnoty</w:t>
        </w:r>
        <w:r>
          <w:rPr>
            <w:noProof/>
            <w:webHidden/>
          </w:rPr>
          <w:tab/>
        </w:r>
        <w:r>
          <w:rPr>
            <w:noProof/>
            <w:webHidden/>
          </w:rPr>
          <w:fldChar w:fldCharType="begin"/>
        </w:r>
        <w:r>
          <w:rPr>
            <w:noProof/>
            <w:webHidden/>
          </w:rPr>
          <w:instrText xml:space="preserve"> PAGEREF _Toc239067810 \h </w:instrText>
        </w:r>
        <w:r>
          <w:rPr>
            <w:noProof/>
            <w:webHidden/>
          </w:rPr>
        </w:r>
        <w:r>
          <w:rPr>
            <w:noProof/>
            <w:webHidden/>
          </w:rPr>
          <w:fldChar w:fldCharType="separate"/>
        </w:r>
        <w:r>
          <w:rPr>
            <w:noProof/>
            <w:webHidden/>
          </w:rPr>
          <w:t>13</w:t>
        </w:r>
        <w:r>
          <w:rPr>
            <w:noProof/>
            <w:webHidden/>
          </w:rPr>
          <w:fldChar w:fldCharType="end"/>
        </w:r>
      </w:hyperlink>
    </w:p>
    <w:p w14:paraId="006E738F" w14:textId="5796F66A"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1" w:history="1">
        <w:r w:rsidRPr="00F85774">
          <w:rPr>
            <w:rStyle w:val="Hypertextovodkaz"/>
            <w:rFonts w:eastAsia="Calibri"/>
            <w:noProof/>
            <w:lang w:eastAsia="en-US"/>
            <w14:scene3d>
              <w14:camera w14:prst="orthographicFront"/>
              <w14:lightRig w14:rig="threePt" w14:dir="t">
                <w14:rot w14:lat="0" w14:lon="0" w14:rev="0"/>
              </w14:lightRig>
            </w14:scene3d>
          </w:rPr>
          <w:t>3.1.4</w:t>
        </w:r>
        <w:r>
          <w:rPr>
            <w:rFonts w:asciiTheme="minorHAnsi" w:eastAsiaTheme="minorEastAsia" w:hAnsiTheme="minorHAnsi" w:cstheme="minorBidi"/>
            <w:noProof/>
            <w:kern w:val="2"/>
            <w:sz w:val="24"/>
            <w:szCs w:val="24"/>
            <w14:ligatures w14:val="standardContextual"/>
          </w:rPr>
          <w:tab/>
        </w:r>
        <w:r w:rsidRPr="00F85774">
          <w:rPr>
            <w:rStyle w:val="Hypertextovodkaz"/>
            <w:noProof/>
          </w:rPr>
          <w:t>Spotřební daně</w:t>
        </w:r>
        <w:r>
          <w:rPr>
            <w:noProof/>
            <w:webHidden/>
          </w:rPr>
          <w:tab/>
        </w:r>
        <w:r>
          <w:rPr>
            <w:noProof/>
            <w:webHidden/>
          </w:rPr>
          <w:fldChar w:fldCharType="begin"/>
        </w:r>
        <w:r>
          <w:rPr>
            <w:noProof/>
            <w:webHidden/>
          </w:rPr>
          <w:instrText xml:space="preserve"> PAGEREF _Toc239067811 \h </w:instrText>
        </w:r>
        <w:r>
          <w:rPr>
            <w:noProof/>
            <w:webHidden/>
          </w:rPr>
        </w:r>
        <w:r>
          <w:rPr>
            <w:noProof/>
            <w:webHidden/>
          </w:rPr>
          <w:fldChar w:fldCharType="separate"/>
        </w:r>
        <w:r>
          <w:rPr>
            <w:noProof/>
            <w:webHidden/>
          </w:rPr>
          <w:t>14</w:t>
        </w:r>
        <w:r>
          <w:rPr>
            <w:noProof/>
            <w:webHidden/>
          </w:rPr>
          <w:fldChar w:fldCharType="end"/>
        </w:r>
      </w:hyperlink>
    </w:p>
    <w:p w14:paraId="2853F278" w14:textId="7D9A313D"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2" w:history="1">
        <w:r w:rsidRPr="00F85774">
          <w:rPr>
            <w:rStyle w:val="Hypertextovodkaz"/>
            <w:noProof/>
            <w14:scene3d>
              <w14:camera w14:prst="orthographicFront"/>
              <w14:lightRig w14:rig="threePt" w14:dir="t">
                <w14:rot w14:lat="0" w14:lon="0" w14:rev="0"/>
              </w14:lightRig>
            </w14:scene3d>
          </w:rPr>
          <w:t>3.1.5</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 z příjmů právnických osob</w:t>
        </w:r>
        <w:r>
          <w:rPr>
            <w:noProof/>
            <w:webHidden/>
          </w:rPr>
          <w:tab/>
        </w:r>
        <w:r>
          <w:rPr>
            <w:noProof/>
            <w:webHidden/>
          </w:rPr>
          <w:fldChar w:fldCharType="begin"/>
        </w:r>
        <w:r>
          <w:rPr>
            <w:noProof/>
            <w:webHidden/>
          </w:rPr>
          <w:instrText xml:space="preserve"> PAGEREF _Toc239067812 \h </w:instrText>
        </w:r>
        <w:r>
          <w:rPr>
            <w:noProof/>
            <w:webHidden/>
          </w:rPr>
        </w:r>
        <w:r>
          <w:rPr>
            <w:noProof/>
            <w:webHidden/>
          </w:rPr>
          <w:fldChar w:fldCharType="separate"/>
        </w:r>
        <w:r>
          <w:rPr>
            <w:noProof/>
            <w:webHidden/>
          </w:rPr>
          <w:t>14</w:t>
        </w:r>
        <w:r>
          <w:rPr>
            <w:noProof/>
            <w:webHidden/>
          </w:rPr>
          <w:fldChar w:fldCharType="end"/>
        </w:r>
      </w:hyperlink>
    </w:p>
    <w:p w14:paraId="37899DF1" w14:textId="3CA1C6A4"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3" w:history="1">
        <w:r w:rsidRPr="00F85774">
          <w:rPr>
            <w:rStyle w:val="Hypertextovodkaz"/>
            <w:noProof/>
            <w14:scene3d>
              <w14:camera w14:prst="orthographicFront"/>
              <w14:lightRig w14:rig="threePt" w14:dir="t">
                <w14:rot w14:lat="0" w14:lon="0" w14:rev="0"/>
              </w14:lightRig>
            </w14:scene3d>
          </w:rPr>
          <w:t>3.1.6</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 z příjmů fyzických osob</w:t>
        </w:r>
        <w:r>
          <w:rPr>
            <w:noProof/>
            <w:webHidden/>
          </w:rPr>
          <w:tab/>
        </w:r>
        <w:r>
          <w:rPr>
            <w:noProof/>
            <w:webHidden/>
          </w:rPr>
          <w:fldChar w:fldCharType="begin"/>
        </w:r>
        <w:r>
          <w:rPr>
            <w:noProof/>
            <w:webHidden/>
          </w:rPr>
          <w:instrText xml:space="preserve"> PAGEREF _Toc239067813 \h </w:instrText>
        </w:r>
        <w:r>
          <w:rPr>
            <w:noProof/>
            <w:webHidden/>
          </w:rPr>
        </w:r>
        <w:r>
          <w:rPr>
            <w:noProof/>
            <w:webHidden/>
          </w:rPr>
          <w:fldChar w:fldCharType="separate"/>
        </w:r>
        <w:r>
          <w:rPr>
            <w:noProof/>
            <w:webHidden/>
          </w:rPr>
          <w:t>14</w:t>
        </w:r>
        <w:r>
          <w:rPr>
            <w:noProof/>
            <w:webHidden/>
          </w:rPr>
          <w:fldChar w:fldCharType="end"/>
        </w:r>
      </w:hyperlink>
    </w:p>
    <w:p w14:paraId="357CFC4F" w14:textId="4A860480"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4" w:history="1">
        <w:r w:rsidRPr="00F85774">
          <w:rPr>
            <w:rStyle w:val="Hypertextovodkaz"/>
            <w:noProof/>
            <w14:scene3d>
              <w14:camera w14:prst="orthographicFront"/>
              <w14:lightRig w14:rig="threePt" w14:dir="t">
                <w14:rot w14:lat="0" w14:lon="0" w14:rev="0"/>
              </w14:lightRig>
            </w14:scene3d>
          </w:rPr>
          <w:t>3.1.7</w:t>
        </w:r>
        <w:r>
          <w:rPr>
            <w:rFonts w:asciiTheme="minorHAnsi" w:eastAsiaTheme="minorEastAsia" w:hAnsiTheme="minorHAnsi" w:cstheme="minorBidi"/>
            <w:noProof/>
            <w:kern w:val="2"/>
            <w:sz w:val="24"/>
            <w:szCs w:val="24"/>
            <w14:ligatures w14:val="standardContextual"/>
          </w:rPr>
          <w:tab/>
        </w:r>
        <w:r w:rsidRPr="00F85774">
          <w:rPr>
            <w:rStyle w:val="Hypertextovodkaz"/>
            <w:noProof/>
          </w:rPr>
          <w:t>Silniční daň</w:t>
        </w:r>
        <w:r>
          <w:rPr>
            <w:noProof/>
            <w:webHidden/>
          </w:rPr>
          <w:tab/>
        </w:r>
        <w:r>
          <w:rPr>
            <w:noProof/>
            <w:webHidden/>
          </w:rPr>
          <w:fldChar w:fldCharType="begin"/>
        </w:r>
        <w:r>
          <w:rPr>
            <w:noProof/>
            <w:webHidden/>
          </w:rPr>
          <w:instrText xml:space="preserve"> PAGEREF _Toc239067814 \h </w:instrText>
        </w:r>
        <w:r>
          <w:rPr>
            <w:noProof/>
            <w:webHidden/>
          </w:rPr>
        </w:r>
        <w:r>
          <w:rPr>
            <w:noProof/>
            <w:webHidden/>
          </w:rPr>
          <w:fldChar w:fldCharType="separate"/>
        </w:r>
        <w:r>
          <w:rPr>
            <w:noProof/>
            <w:webHidden/>
          </w:rPr>
          <w:t>15</w:t>
        </w:r>
        <w:r>
          <w:rPr>
            <w:noProof/>
            <w:webHidden/>
          </w:rPr>
          <w:fldChar w:fldCharType="end"/>
        </w:r>
      </w:hyperlink>
    </w:p>
    <w:p w14:paraId="16E82517" w14:textId="25F1D49A"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5" w:history="1">
        <w:r w:rsidRPr="00F85774">
          <w:rPr>
            <w:rStyle w:val="Hypertextovodkaz"/>
            <w:noProof/>
            <w14:scene3d>
              <w14:camera w14:prst="orthographicFront"/>
              <w14:lightRig w14:rig="threePt" w14:dir="t">
                <w14:rot w14:lat="0" w14:lon="0" w14:rev="0"/>
              </w14:lightRig>
            </w14:scene3d>
          </w:rPr>
          <w:t>3.1.8</w:t>
        </w:r>
        <w:r>
          <w:rPr>
            <w:rFonts w:asciiTheme="minorHAnsi" w:eastAsiaTheme="minorEastAsia" w:hAnsiTheme="minorHAnsi" w:cstheme="minorBidi"/>
            <w:noProof/>
            <w:kern w:val="2"/>
            <w:sz w:val="24"/>
            <w:szCs w:val="24"/>
            <w14:ligatures w14:val="standardContextual"/>
          </w:rPr>
          <w:tab/>
        </w:r>
        <w:r w:rsidRPr="00F85774">
          <w:rPr>
            <w:rStyle w:val="Hypertextovodkaz"/>
            <w:noProof/>
          </w:rPr>
          <w:t>Odvod z elektřiny ze slunečního záření</w:t>
        </w:r>
        <w:r>
          <w:rPr>
            <w:noProof/>
            <w:webHidden/>
          </w:rPr>
          <w:tab/>
        </w:r>
        <w:r>
          <w:rPr>
            <w:noProof/>
            <w:webHidden/>
          </w:rPr>
          <w:fldChar w:fldCharType="begin"/>
        </w:r>
        <w:r>
          <w:rPr>
            <w:noProof/>
            <w:webHidden/>
          </w:rPr>
          <w:instrText xml:space="preserve"> PAGEREF _Toc239067815 \h </w:instrText>
        </w:r>
        <w:r>
          <w:rPr>
            <w:noProof/>
            <w:webHidden/>
          </w:rPr>
        </w:r>
        <w:r>
          <w:rPr>
            <w:noProof/>
            <w:webHidden/>
          </w:rPr>
          <w:fldChar w:fldCharType="separate"/>
        </w:r>
        <w:r>
          <w:rPr>
            <w:noProof/>
            <w:webHidden/>
          </w:rPr>
          <w:t>15</w:t>
        </w:r>
        <w:r>
          <w:rPr>
            <w:noProof/>
            <w:webHidden/>
          </w:rPr>
          <w:fldChar w:fldCharType="end"/>
        </w:r>
      </w:hyperlink>
    </w:p>
    <w:p w14:paraId="62E39448" w14:textId="47575C6A"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6" w:history="1">
        <w:r w:rsidRPr="00F85774">
          <w:rPr>
            <w:rStyle w:val="Hypertextovodkaz"/>
            <w:noProof/>
            <w14:scene3d>
              <w14:camera w14:prst="orthographicFront"/>
              <w14:lightRig w14:rig="threePt" w14:dir="t">
                <w14:rot w14:lat="0" w14:lon="0" w14:rev="0"/>
              </w14:lightRig>
            </w14:scene3d>
          </w:rPr>
          <w:t>3.1.9</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 z hazardu</w:t>
        </w:r>
        <w:r>
          <w:rPr>
            <w:noProof/>
            <w:webHidden/>
          </w:rPr>
          <w:tab/>
        </w:r>
        <w:r>
          <w:rPr>
            <w:noProof/>
            <w:webHidden/>
          </w:rPr>
          <w:fldChar w:fldCharType="begin"/>
        </w:r>
        <w:r>
          <w:rPr>
            <w:noProof/>
            <w:webHidden/>
          </w:rPr>
          <w:instrText xml:space="preserve"> PAGEREF _Toc239067816 \h </w:instrText>
        </w:r>
        <w:r>
          <w:rPr>
            <w:noProof/>
            <w:webHidden/>
          </w:rPr>
        </w:r>
        <w:r>
          <w:rPr>
            <w:noProof/>
            <w:webHidden/>
          </w:rPr>
          <w:fldChar w:fldCharType="separate"/>
        </w:r>
        <w:r>
          <w:rPr>
            <w:noProof/>
            <w:webHidden/>
          </w:rPr>
          <w:t>15</w:t>
        </w:r>
        <w:r>
          <w:rPr>
            <w:noProof/>
            <w:webHidden/>
          </w:rPr>
          <w:fldChar w:fldCharType="end"/>
        </w:r>
      </w:hyperlink>
    </w:p>
    <w:p w14:paraId="4FBC7F72" w14:textId="5F770A2F"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7" w:history="1">
        <w:r w:rsidRPr="00F85774">
          <w:rPr>
            <w:rStyle w:val="Hypertextovodkaz"/>
            <w:noProof/>
            <w14:scene3d>
              <w14:camera w14:prst="orthographicFront"/>
              <w14:lightRig w14:rig="threePt" w14:dir="t">
                <w14:rot w14:lat="0" w14:lon="0" w14:rev="0"/>
              </w14:lightRig>
            </w14:scene3d>
          </w:rPr>
          <w:t>3.1.10</w:t>
        </w:r>
        <w:r>
          <w:rPr>
            <w:rFonts w:asciiTheme="minorHAnsi" w:eastAsiaTheme="minorEastAsia" w:hAnsiTheme="minorHAnsi" w:cstheme="minorBidi"/>
            <w:noProof/>
            <w:kern w:val="2"/>
            <w:sz w:val="24"/>
            <w:szCs w:val="24"/>
            <w14:ligatures w14:val="standardContextual"/>
          </w:rPr>
          <w:tab/>
        </w:r>
        <w:r w:rsidRPr="00F85774">
          <w:rPr>
            <w:rStyle w:val="Hypertextovodkaz"/>
            <w:noProof/>
          </w:rPr>
          <w:t>Dorovnávací daně</w:t>
        </w:r>
        <w:r>
          <w:rPr>
            <w:noProof/>
            <w:webHidden/>
          </w:rPr>
          <w:tab/>
        </w:r>
        <w:r>
          <w:rPr>
            <w:noProof/>
            <w:webHidden/>
          </w:rPr>
          <w:fldChar w:fldCharType="begin"/>
        </w:r>
        <w:r>
          <w:rPr>
            <w:noProof/>
            <w:webHidden/>
          </w:rPr>
          <w:instrText xml:space="preserve"> PAGEREF _Toc239067817 \h </w:instrText>
        </w:r>
        <w:r>
          <w:rPr>
            <w:noProof/>
            <w:webHidden/>
          </w:rPr>
        </w:r>
        <w:r>
          <w:rPr>
            <w:noProof/>
            <w:webHidden/>
          </w:rPr>
          <w:fldChar w:fldCharType="separate"/>
        </w:r>
        <w:r>
          <w:rPr>
            <w:noProof/>
            <w:webHidden/>
          </w:rPr>
          <w:t>15</w:t>
        </w:r>
        <w:r>
          <w:rPr>
            <w:noProof/>
            <w:webHidden/>
          </w:rPr>
          <w:fldChar w:fldCharType="end"/>
        </w:r>
      </w:hyperlink>
    </w:p>
    <w:p w14:paraId="0D722AD5" w14:textId="33008656"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8" w:history="1">
        <w:r w:rsidRPr="00F85774">
          <w:rPr>
            <w:rStyle w:val="Hypertextovodkaz"/>
            <w:noProof/>
            <w14:scene3d>
              <w14:camera w14:prst="orthographicFront"/>
              <w14:lightRig w14:rig="threePt" w14:dir="t">
                <w14:rot w14:lat="0" w14:lon="0" w14:rev="0"/>
              </w14:lightRig>
            </w14:scene3d>
          </w:rPr>
          <w:t>3.1.11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Ostatní daně a poplatky</w:t>
        </w:r>
        <w:r>
          <w:rPr>
            <w:noProof/>
            <w:webHidden/>
          </w:rPr>
          <w:tab/>
        </w:r>
        <w:r>
          <w:rPr>
            <w:noProof/>
            <w:webHidden/>
          </w:rPr>
          <w:fldChar w:fldCharType="begin"/>
        </w:r>
        <w:r>
          <w:rPr>
            <w:noProof/>
            <w:webHidden/>
          </w:rPr>
          <w:instrText xml:space="preserve"> PAGEREF _Toc239067818 \h </w:instrText>
        </w:r>
        <w:r>
          <w:rPr>
            <w:noProof/>
            <w:webHidden/>
          </w:rPr>
        </w:r>
        <w:r>
          <w:rPr>
            <w:noProof/>
            <w:webHidden/>
          </w:rPr>
          <w:fldChar w:fldCharType="separate"/>
        </w:r>
        <w:r>
          <w:rPr>
            <w:noProof/>
            <w:webHidden/>
          </w:rPr>
          <w:t>15</w:t>
        </w:r>
        <w:r>
          <w:rPr>
            <w:noProof/>
            <w:webHidden/>
          </w:rPr>
          <w:fldChar w:fldCharType="end"/>
        </w:r>
      </w:hyperlink>
    </w:p>
    <w:p w14:paraId="6FE1EEDD" w14:textId="2A597E22"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19" w:history="1">
        <w:r w:rsidRPr="00F85774">
          <w:rPr>
            <w:rStyle w:val="Hypertextovodkaz"/>
            <w:noProof/>
            <w14:scene3d>
              <w14:camera w14:prst="orthographicFront"/>
              <w14:lightRig w14:rig="threePt" w14:dir="t">
                <w14:rot w14:lat="0" w14:lon="0" w14:rev="0"/>
              </w14:lightRig>
            </w14:scene3d>
          </w:rPr>
          <w:t>3.1.12</w:t>
        </w:r>
        <w:r>
          <w:rPr>
            <w:rFonts w:asciiTheme="minorHAnsi" w:eastAsiaTheme="minorEastAsia" w:hAnsiTheme="minorHAnsi" w:cstheme="minorBidi"/>
            <w:noProof/>
            <w:kern w:val="2"/>
            <w:sz w:val="24"/>
            <w:szCs w:val="24"/>
            <w14:ligatures w14:val="standardContextual"/>
          </w:rPr>
          <w:tab/>
        </w:r>
        <w:r w:rsidRPr="00F85774">
          <w:rPr>
            <w:rStyle w:val="Hypertextovodkaz"/>
            <w:noProof/>
          </w:rPr>
          <w:t>Daňové úlevy za rok 2024</w:t>
        </w:r>
        <w:r>
          <w:rPr>
            <w:noProof/>
            <w:webHidden/>
          </w:rPr>
          <w:tab/>
        </w:r>
        <w:r>
          <w:rPr>
            <w:noProof/>
            <w:webHidden/>
          </w:rPr>
          <w:fldChar w:fldCharType="begin"/>
        </w:r>
        <w:r>
          <w:rPr>
            <w:noProof/>
            <w:webHidden/>
          </w:rPr>
          <w:instrText xml:space="preserve"> PAGEREF _Toc239067819 \h </w:instrText>
        </w:r>
        <w:r>
          <w:rPr>
            <w:noProof/>
            <w:webHidden/>
          </w:rPr>
        </w:r>
        <w:r>
          <w:rPr>
            <w:noProof/>
            <w:webHidden/>
          </w:rPr>
          <w:fldChar w:fldCharType="separate"/>
        </w:r>
        <w:r>
          <w:rPr>
            <w:noProof/>
            <w:webHidden/>
          </w:rPr>
          <w:t>15</w:t>
        </w:r>
        <w:r>
          <w:rPr>
            <w:noProof/>
            <w:webHidden/>
          </w:rPr>
          <w:fldChar w:fldCharType="end"/>
        </w:r>
      </w:hyperlink>
    </w:p>
    <w:p w14:paraId="49958B0C" w14:textId="6F3C3C8E"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20" w:history="1">
        <w:r w:rsidRPr="00F85774">
          <w:rPr>
            <w:rStyle w:val="Hypertextovodkaz"/>
            <w:noProof/>
          </w:rPr>
          <w:t>3.2</w:t>
        </w:r>
        <w:r>
          <w:rPr>
            <w:rFonts w:asciiTheme="minorHAnsi" w:eastAsiaTheme="minorEastAsia" w:hAnsiTheme="minorHAnsi" w:cstheme="minorBidi"/>
            <w:noProof/>
            <w:kern w:val="2"/>
            <w:sz w:val="24"/>
            <w:szCs w:val="24"/>
            <w14:ligatures w14:val="standardContextual"/>
          </w:rPr>
          <w:tab/>
        </w:r>
        <w:r w:rsidRPr="00F85774">
          <w:rPr>
            <w:rStyle w:val="Hypertextovodkaz"/>
            <w:noProof/>
          </w:rPr>
          <w:t>Příjmy z pojistného na sociální zabezpečení a příspěvku na státní politiku zaměstnanosti</w:t>
        </w:r>
        <w:r>
          <w:rPr>
            <w:noProof/>
            <w:webHidden/>
          </w:rPr>
          <w:tab/>
        </w:r>
        <w:r>
          <w:rPr>
            <w:noProof/>
            <w:webHidden/>
          </w:rPr>
          <w:fldChar w:fldCharType="begin"/>
        </w:r>
        <w:r>
          <w:rPr>
            <w:noProof/>
            <w:webHidden/>
          </w:rPr>
          <w:instrText xml:space="preserve"> PAGEREF _Toc239067820 \h </w:instrText>
        </w:r>
        <w:r>
          <w:rPr>
            <w:noProof/>
            <w:webHidden/>
          </w:rPr>
        </w:r>
        <w:r>
          <w:rPr>
            <w:noProof/>
            <w:webHidden/>
          </w:rPr>
          <w:fldChar w:fldCharType="separate"/>
        </w:r>
        <w:r>
          <w:rPr>
            <w:noProof/>
            <w:webHidden/>
          </w:rPr>
          <w:t>16</w:t>
        </w:r>
        <w:r>
          <w:rPr>
            <w:noProof/>
            <w:webHidden/>
          </w:rPr>
          <w:fldChar w:fldCharType="end"/>
        </w:r>
      </w:hyperlink>
    </w:p>
    <w:p w14:paraId="09042175" w14:textId="1F360457"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21" w:history="1">
        <w:r w:rsidRPr="00F85774">
          <w:rPr>
            <w:rStyle w:val="Hypertextovodkaz"/>
            <w:noProof/>
          </w:rPr>
          <w:t>3.3</w:t>
        </w:r>
        <w:r>
          <w:rPr>
            <w:rFonts w:asciiTheme="minorHAnsi" w:eastAsiaTheme="minorEastAsia" w:hAnsiTheme="minorHAnsi" w:cstheme="minorBidi"/>
            <w:noProof/>
            <w:kern w:val="2"/>
            <w:sz w:val="24"/>
            <w:szCs w:val="24"/>
            <w14:ligatures w14:val="standardContextual"/>
          </w:rPr>
          <w:tab/>
        </w:r>
        <w:r w:rsidRPr="00F85774">
          <w:rPr>
            <w:rStyle w:val="Hypertextovodkaz"/>
            <w:noProof/>
          </w:rPr>
          <w:t>Ostatní příjmy</w:t>
        </w:r>
        <w:r>
          <w:rPr>
            <w:noProof/>
            <w:webHidden/>
          </w:rPr>
          <w:tab/>
        </w:r>
        <w:r>
          <w:rPr>
            <w:noProof/>
            <w:webHidden/>
          </w:rPr>
          <w:fldChar w:fldCharType="begin"/>
        </w:r>
        <w:r>
          <w:rPr>
            <w:noProof/>
            <w:webHidden/>
          </w:rPr>
          <w:instrText xml:space="preserve"> PAGEREF _Toc239067821 \h </w:instrText>
        </w:r>
        <w:r>
          <w:rPr>
            <w:noProof/>
            <w:webHidden/>
          </w:rPr>
        </w:r>
        <w:r>
          <w:rPr>
            <w:noProof/>
            <w:webHidden/>
          </w:rPr>
          <w:fldChar w:fldCharType="separate"/>
        </w:r>
        <w:r>
          <w:rPr>
            <w:noProof/>
            <w:webHidden/>
          </w:rPr>
          <w:t>17</w:t>
        </w:r>
        <w:r>
          <w:rPr>
            <w:noProof/>
            <w:webHidden/>
          </w:rPr>
          <w:fldChar w:fldCharType="end"/>
        </w:r>
      </w:hyperlink>
    </w:p>
    <w:p w14:paraId="7E842DA9" w14:textId="25B7AE93"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2" w:history="1">
        <w:r w:rsidRPr="00F85774">
          <w:rPr>
            <w:rStyle w:val="Hypertextovodkaz"/>
            <w:noProof/>
            <w14:scene3d>
              <w14:camera w14:prst="orthographicFront"/>
              <w14:lightRig w14:rig="threePt" w14:dir="t">
                <w14:rot w14:lat="0" w14:lon="0" w14:rev="0"/>
              </w14:lightRig>
            </w14:scene3d>
          </w:rPr>
          <w:t>3.3.1</w:t>
        </w:r>
        <w:r>
          <w:rPr>
            <w:rFonts w:asciiTheme="minorHAnsi" w:eastAsiaTheme="minorEastAsia" w:hAnsiTheme="minorHAnsi" w:cstheme="minorBidi"/>
            <w:noProof/>
            <w:kern w:val="2"/>
            <w:sz w:val="24"/>
            <w:szCs w:val="24"/>
            <w14:ligatures w14:val="standardContextual"/>
          </w:rPr>
          <w:tab/>
        </w:r>
        <w:r w:rsidRPr="00F85774">
          <w:rPr>
            <w:rStyle w:val="Hypertextovodkaz"/>
            <w:noProof/>
          </w:rPr>
          <w:t>Nedaňové příjmy</w:t>
        </w:r>
        <w:r>
          <w:rPr>
            <w:noProof/>
            <w:webHidden/>
          </w:rPr>
          <w:tab/>
        </w:r>
        <w:r>
          <w:rPr>
            <w:noProof/>
            <w:webHidden/>
          </w:rPr>
          <w:fldChar w:fldCharType="begin"/>
        </w:r>
        <w:r>
          <w:rPr>
            <w:noProof/>
            <w:webHidden/>
          </w:rPr>
          <w:instrText xml:space="preserve"> PAGEREF _Toc239067822 \h </w:instrText>
        </w:r>
        <w:r>
          <w:rPr>
            <w:noProof/>
            <w:webHidden/>
          </w:rPr>
        </w:r>
        <w:r>
          <w:rPr>
            <w:noProof/>
            <w:webHidden/>
          </w:rPr>
          <w:fldChar w:fldCharType="separate"/>
        </w:r>
        <w:r>
          <w:rPr>
            <w:noProof/>
            <w:webHidden/>
          </w:rPr>
          <w:t>17</w:t>
        </w:r>
        <w:r>
          <w:rPr>
            <w:noProof/>
            <w:webHidden/>
          </w:rPr>
          <w:fldChar w:fldCharType="end"/>
        </w:r>
      </w:hyperlink>
    </w:p>
    <w:p w14:paraId="2FD8BA63" w14:textId="2E84FAD1"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3" w:history="1">
        <w:r w:rsidRPr="00F85774">
          <w:rPr>
            <w:rStyle w:val="Hypertextovodkaz"/>
            <w:noProof/>
            <w14:scene3d>
              <w14:camera w14:prst="orthographicFront"/>
              <w14:lightRig w14:rig="threePt" w14:dir="t">
                <w14:rot w14:lat="0" w14:lon="0" w14:rev="0"/>
              </w14:lightRig>
            </w14:scene3d>
          </w:rPr>
          <w:t>3.3.2</w:t>
        </w:r>
        <w:r>
          <w:rPr>
            <w:rFonts w:asciiTheme="minorHAnsi" w:eastAsiaTheme="minorEastAsia" w:hAnsiTheme="minorHAnsi" w:cstheme="minorBidi"/>
            <w:noProof/>
            <w:kern w:val="2"/>
            <w:sz w:val="24"/>
            <w:szCs w:val="24"/>
            <w14:ligatures w14:val="standardContextual"/>
          </w:rPr>
          <w:tab/>
        </w:r>
        <w:r w:rsidRPr="00F85774">
          <w:rPr>
            <w:rStyle w:val="Hypertextovodkaz"/>
            <w:noProof/>
          </w:rPr>
          <w:t>Kapitálové příjmy</w:t>
        </w:r>
        <w:r>
          <w:rPr>
            <w:noProof/>
            <w:webHidden/>
          </w:rPr>
          <w:tab/>
        </w:r>
        <w:r>
          <w:rPr>
            <w:noProof/>
            <w:webHidden/>
          </w:rPr>
          <w:fldChar w:fldCharType="begin"/>
        </w:r>
        <w:r>
          <w:rPr>
            <w:noProof/>
            <w:webHidden/>
          </w:rPr>
          <w:instrText xml:space="preserve"> PAGEREF _Toc239067823 \h </w:instrText>
        </w:r>
        <w:r>
          <w:rPr>
            <w:noProof/>
            <w:webHidden/>
          </w:rPr>
        </w:r>
        <w:r>
          <w:rPr>
            <w:noProof/>
            <w:webHidden/>
          </w:rPr>
          <w:fldChar w:fldCharType="separate"/>
        </w:r>
        <w:r>
          <w:rPr>
            <w:noProof/>
            <w:webHidden/>
          </w:rPr>
          <w:t>18</w:t>
        </w:r>
        <w:r>
          <w:rPr>
            <w:noProof/>
            <w:webHidden/>
          </w:rPr>
          <w:fldChar w:fldCharType="end"/>
        </w:r>
      </w:hyperlink>
    </w:p>
    <w:p w14:paraId="28732389" w14:textId="418C5A22"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4" w:history="1">
        <w:r w:rsidRPr="00F85774">
          <w:rPr>
            <w:rStyle w:val="Hypertextovodkaz"/>
            <w:noProof/>
            <w14:scene3d>
              <w14:camera w14:prst="orthographicFront"/>
              <w14:lightRig w14:rig="threePt" w14:dir="t">
                <w14:rot w14:lat="0" w14:lon="0" w14:rev="0"/>
              </w14:lightRig>
            </w14:scene3d>
          </w:rPr>
          <w:t>3.3.3</w:t>
        </w:r>
        <w:r>
          <w:rPr>
            <w:rFonts w:asciiTheme="minorHAnsi" w:eastAsiaTheme="minorEastAsia" w:hAnsiTheme="minorHAnsi" w:cstheme="minorBidi"/>
            <w:noProof/>
            <w:kern w:val="2"/>
            <w:sz w:val="24"/>
            <w:szCs w:val="24"/>
            <w14:ligatures w14:val="standardContextual"/>
          </w:rPr>
          <w:tab/>
        </w:r>
        <w:r w:rsidRPr="00F85774">
          <w:rPr>
            <w:rStyle w:val="Hypertextovodkaz"/>
            <w:noProof/>
          </w:rPr>
          <w:t>Přijaté transfery</w:t>
        </w:r>
        <w:r>
          <w:rPr>
            <w:noProof/>
            <w:webHidden/>
          </w:rPr>
          <w:tab/>
        </w:r>
        <w:r>
          <w:rPr>
            <w:noProof/>
            <w:webHidden/>
          </w:rPr>
          <w:fldChar w:fldCharType="begin"/>
        </w:r>
        <w:r>
          <w:rPr>
            <w:noProof/>
            <w:webHidden/>
          </w:rPr>
          <w:instrText xml:space="preserve"> PAGEREF _Toc239067824 \h </w:instrText>
        </w:r>
        <w:r>
          <w:rPr>
            <w:noProof/>
            <w:webHidden/>
          </w:rPr>
        </w:r>
        <w:r>
          <w:rPr>
            <w:noProof/>
            <w:webHidden/>
          </w:rPr>
          <w:fldChar w:fldCharType="separate"/>
        </w:r>
        <w:r>
          <w:rPr>
            <w:noProof/>
            <w:webHidden/>
          </w:rPr>
          <w:t>18</w:t>
        </w:r>
        <w:r>
          <w:rPr>
            <w:noProof/>
            <w:webHidden/>
          </w:rPr>
          <w:fldChar w:fldCharType="end"/>
        </w:r>
      </w:hyperlink>
    </w:p>
    <w:p w14:paraId="642701C1" w14:textId="5754B006"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25" w:history="1">
        <w:r w:rsidRPr="00F85774">
          <w:rPr>
            <w:rStyle w:val="Hypertextovodkaz"/>
          </w:rPr>
          <w:t>4</w:t>
        </w:r>
        <w:r>
          <w:rPr>
            <w:rFonts w:asciiTheme="minorHAnsi" w:eastAsiaTheme="minorEastAsia" w:hAnsiTheme="minorHAnsi" w:cstheme="minorBidi"/>
            <w:b w:val="0"/>
            <w:kern w:val="2"/>
            <w:sz w:val="24"/>
            <w:szCs w:val="24"/>
            <w14:ligatures w14:val="standardContextual"/>
          </w:rPr>
          <w:tab/>
        </w:r>
        <w:r w:rsidRPr="00F85774">
          <w:rPr>
            <w:rStyle w:val="Hypertextovodkaz"/>
          </w:rPr>
          <w:t>Detailní pohled na výdaje</w:t>
        </w:r>
        <w:r>
          <w:rPr>
            <w:webHidden/>
          </w:rPr>
          <w:tab/>
        </w:r>
        <w:r>
          <w:rPr>
            <w:webHidden/>
          </w:rPr>
          <w:fldChar w:fldCharType="begin"/>
        </w:r>
        <w:r>
          <w:rPr>
            <w:webHidden/>
          </w:rPr>
          <w:instrText xml:space="preserve"> PAGEREF _Toc239067825 \h </w:instrText>
        </w:r>
        <w:r>
          <w:rPr>
            <w:webHidden/>
          </w:rPr>
        </w:r>
        <w:r>
          <w:rPr>
            <w:webHidden/>
          </w:rPr>
          <w:fldChar w:fldCharType="separate"/>
        </w:r>
        <w:r>
          <w:rPr>
            <w:webHidden/>
          </w:rPr>
          <w:t>19</w:t>
        </w:r>
        <w:r>
          <w:rPr>
            <w:webHidden/>
          </w:rPr>
          <w:fldChar w:fldCharType="end"/>
        </w:r>
      </w:hyperlink>
    </w:p>
    <w:p w14:paraId="477B31CA" w14:textId="5FEC4DA5"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26" w:history="1">
        <w:r w:rsidRPr="00F85774">
          <w:rPr>
            <w:rStyle w:val="Hypertextovodkaz"/>
            <w:noProof/>
          </w:rPr>
          <w:t>4.1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státního rozpočtu podle odvětvového členění</w:t>
        </w:r>
        <w:r>
          <w:rPr>
            <w:noProof/>
            <w:webHidden/>
          </w:rPr>
          <w:tab/>
        </w:r>
        <w:r>
          <w:rPr>
            <w:noProof/>
            <w:webHidden/>
          </w:rPr>
          <w:fldChar w:fldCharType="begin"/>
        </w:r>
        <w:r>
          <w:rPr>
            <w:noProof/>
            <w:webHidden/>
          </w:rPr>
          <w:instrText xml:space="preserve"> PAGEREF _Toc239067826 \h </w:instrText>
        </w:r>
        <w:r>
          <w:rPr>
            <w:noProof/>
            <w:webHidden/>
          </w:rPr>
        </w:r>
        <w:r>
          <w:rPr>
            <w:noProof/>
            <w:webHidden/>
          </w:rPr>
          <w:fldChar w:fldCharType="separate"/>
        </w:r>
        <w:r>
          <w:rPr>
            <w:noProof/>
            <w:webHidden/>
          </w:rPr>
          <w:t>19</w:t>
        </w:r>
        <w:r>
          <w:rPr>
            <w:noProof/>
            <w:webHidden/>
          </w:rPr>
          <w:fldChar w:fldCharType="end"/>
        </w:r>
      </w:hyperlink>
    </w:p>
    <w:p w14:paraId="5C31E2B4" w14:textId="448320A3"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7" w:history="1">
        <w:r w:rsidRPr="00F85774">
          <w:rPr>
            <w:rStyle w:val="Hypertextovodkaz"/>
            <w:noProof/>
            <w14:scene3d>
              <w14:camera w14:prst="orthographicFront"/>
              <w14:lightRig w14:rig="threePt" w14:dir="t">
                <w14:rot w14:lat="0" w14:lon="0" w14:rev="0"/>
              </w14:lightRig>
            </w14:scene3d>
          </w:rPr>
          <w:t>4.1.1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Sociální věci a politika zaměstnanosti</w:t>
        </w:r>
        <w:r>
          <w:rPr>
            <w:noProof/>
            <w:webHidden/>
          </w:rPr>
          <w:tab/>
        </w:r>
        <w:r>
          <w:rPr>
            <w:noProof/>
            <w:webHidden/>
          </w:rPr>
          <w:fldChar w:fldCharType="begin"/>
        </w:r>
        <w:r>
          <w:rPr>
            <w:noProof/>
            <w:webHidden/>
          </w:rPr>
          <w:instrText xml:space="preserve"> PAGEREF _Toc239067827 \h </w:instrText>
        </w:r>
        <w:r>
          <w:rPr>
            <w:noProof/>
            <w:webHidden/>
          </w:rPr>
        </w:r>
        <w:r>
          <w:rPr>
            <w:noProof/>
            <w:webHidden/>
          </w:rPr>
          <w:fldChar w:fldCharType="separate"/>
        </w:r>
        <w:r>
          <w:rPr>
            <w:noProof/>
            <w:webHidden/>
          </w:rPr>
          <w:t>20</w:t>
        </w:r>
        <w:r>
          <w:rPr>
            <w:noProof/>
            <w:webHidden/>
          </w:rPr>
          <w:fldChar w:fldCharType="end"/>
        </w:r>
      </w:hyperlink>
    </w:p>
    <w:p w14:paraId="00D308CF" w14:textId="7B39046D"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8" w:history="1">
        <w:r w:rsidRPr="00F85774">
          <w:rPr>
            <w:rStyle w:val="Hypertextovodkaz"/>
            <w:noProof/>
            <w14:scene3d>
              <w14:camera w14:prst="orthographicFront"/>
              <w14:lightRig w14:rig="threePt" w14:dir="t">
                <w14:rot w14:lat="0" w14:lon="0" w14:rev="0"/>
              </w14:lightRig>
            </w14:scene3d>
          </w:rPr>
          <w:t>4.1.2</w:t>
        </w:r>
        <w:r>
          <w:rPr>
            <w:rFonts w:asciiTheme="minorHAnsi" w:eastAsiaTheme="minorEastAsia" w:hAnsiTheme="minorHAnsi" w:cstheme="minorBidi"/>
            <w:noProof/>
            <w:kern w:val="2"/>
            <w:sz w:val="24"/>
            <w:szCs w:val="24"/>
            <w14:ligatures w14:val="standardContextual"/>
          </w:rPr>
          <w:tab/>
        </w:r>
        <w:r w:rsidRPr="00F85774">
          <w:rPr>
            <w:rStyle w:val="Hypertextovodkaz"/>
            <w:noProof/>
          </w:rPr>
          <w:t>Služby pro fyzické osoby</w:t>
        </w:r>
        <w:r>
          <w:rPr>
            <w:noProof/>
            <w:webHidden/>
          </w:rPr>
          <w:tab/>
        </w:r>
        <w:r>
          <w:rPr>
            <w:noProof/>
            <w:webHidden/>
          </w:rPr>
          <w:fldChar w:fldCharType="begin"/>
        </w:r>
        <w:r>
          <w:rPr>
            <w:noProof/>
            <w:webHidden/>
          </w:rPr>
          <w:instrText xml:space="preserve"> PAGEREF _Toc239067828 \h </w:instrText>
        </w:r>
        <w:r>
          <w:rPr>
            <w:noProof/>
            <w:webHidden/>
          </w:rPr>
        </w:r>
        <w:r>
          <w:rPr>
            <w:noProof/>
            <w:webHidden/>
          </w:rPr>
          <w:fldChar w:fldCharType="separate"/>
        </w:r>
        <w:r>
          <w:rPr>
            <w:noProof/>
            <w:webHidden/>
          </w:rPr>
          <w:t>20</w:t>
        </w:r>
        <w:r>
          <w:rPr>
            <w:noProof/>
            <w:webHidden/>
          </w:rPr>
          <w:fldChar w:fldCharType="end"/>
        </w:r>
      </w:hyperlink>
    </w:p>
    <w:p w14:paraId="3B059284" w14:textId="20D3AA1F"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29" w:history="1">
        <w:r w:rsidRPr="00F85774">
          <w:rPr>
            <w:rStyle w:val="Hypertextovodkaz"/>
            <w:noProof/>
            <w14:scene3d>
              <w14:camera w14:prst="orthographicFront"/>
              <w14:lightRig w14:rig="threePt" w14:dir="t">
                <w14:rot w14:lat="0" w14:lon="0" w14:rev="0"/>
              </w14:lightRig>
            </w14:scene3d>
          </w:rPr>
          <w:t>4.1.3</w:t>
        </w:r>
        <w:r>
          <w:rPr>
            <w:rFonts w:asciiTheme="minorHAnsi" w:eastAsiaTheme="minorEastAsia" w:hAnsiTheme="minorHAnsi" w:cstheme="minorBidi"/>
            <w:noProof/>
            <w:kern w:val="2"/>
            <w:sz w:val="24"/>
            <w:szCs w:val="24"/>
            <w14:ligatures w14:val="standardContextual"/>
          </w:rPr>
          <w:tab/>
        </w:r>
        <w:r w:rsidRPr="00F85774">
          <w:rPr>
            <w:rStyle w:val="Hypertextovodkaz"/>
            <w:noProof/>
          </w:rPr>
          <w:t>Bezpečnost státu a právní ochrana</w:t>
        </w:r>
        <w:r>
          <w:rPr>
            <w:noProof/>
            <w:webHidden/>
          </w:rPr>
          <w:tab/>
        </w:r>
        <w:r>
          <w:rPr>
            <w:noProof/>
            <w:webHidden/>
          </w:rPr>
          <w:fldChar w:fldCharType="begin"/>
        </w:r>
        <w:r>
          <w:rPr>
            <w:noProof/>
            <w:webHidden/>
          </w:rPr>
          <w:instrText xml:space="preserve"> PAGEREF _Toc239067829 \h </w:instrText>
        </w:r>
        <w:r>
          <w:rPr>
            <w:noProof/>
            <w:webHidden/>
          </w:rPr>
        </w:r>
        <w:r>
          <w:rPr>
            <w:noProof/>
            <w:webHidden/>
          </w:rPr>
          <w:fldChar w:fldCharType="separate"/>
        </w:r>
        <w:r>
          <w:rPr>
            <w:noProof/>
            <w:webHidden/>
          </w:rPr>
          <w:t>22</w:t>
        </w:r>
        <w:r>
          <w:rPr>
            <w:noProof/>
            <w:webHidden/>
          </w:rPr>
          <w:fldChar w:fldCharType="end"/>
        </w:r>
      </w:hyperlink>
    </w:p>
    <w:p w14:paraId="5FD296F6" w14:textId="672C9451"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0" w:history="1">
        <w:r w:rsidRPr="00F85774">
          <w:rPr>
            <w:rStyle w:val="Hypertextovodkaz"/>
            <w:noProof/>
            <w14:scene3d>
              <w14:camera w14:prst="orthographicFront"/>
              <w14:lightRig w14:rig="threePt" w14:dir="t">
                <w14:rot w14:lat="0" w14:lon="0" w14:rev="0"/>
              </w14:lightRig>
            </w14:scene3d>
          </w:rPr>
          <w:t>4.1.4</w:t>
        </w:r>
        <w:r>
          <w:rPr>
            <w:rFonts w:asciiTheme="minorHAnsi" w:eastAsiaTheme="minorEastAsia" w:hAnsiTheme="minorHAnsi" w:cstheme="minorBidi"/>
            <w:noProof/>
            <w:kern w:val="2"/>
            <w:sz w:val="24"/>
            <w:szCs w:val="24"/>
            <w14:ligatures w14:val="standardContextual"/>
          </w:rPr>
          <w:tab/>
        </w:r>
        <w:r w:rsidRPr="00F85774">
          <w:rPr>
            <w:rStyle w:val="Hypertextovodkaz"/>
            <w:noProof/>
          </w:rPr>
          <w:t>Všeobecná veřejná správa a služby</w:t>
        </w:r>
        <w:r>
          <w:rPr>
            <w:noProof/>
            <w:webHidden/>
          </w:rPr>
          <w:tab/>
        </w:r>
        <w:r>
          <w:rPr>
            <w:noProof/>
            <w:webHidden/>
          </w:rPr>
          <w:fldChar w:fldCharType="begin"/>
        </w:r>
        <w:r>
          <w:rPr>
            <w:noProof/>
            <w:webHidden/>
          </w:rPr>
          <w:instrText xml:space="preserve"> PAGEREF _Toc239067830 \h </w:instrText>
        </w:r>
        <w:r>
          <w:rPr>
            <w:noProof/>
            <w:webHidden/>
          </w:rPr>
        </w:r>
        <w:r>
          <w:rPr>
            <w:noProof/>
            <w:webHidden/>
          </w:rPr>
          <w:fldChar w:fldCharType="separate"/>
        </w:r>
        <w:r>
          <w:rPr>
            <w:noProof/>
            <w:webHidden/>
          </w:rPr>
          <w:t>23</w:t>
        </w:r>
        <w:r>
          <w:rPr>
            <w:noProof/>
            <w:webHidden/>
          </w:rPr>
          <w:fldChar w:fldCharType="end"/>
        </w:r>
      </w:hyperlink>
    </w:p>
    <w:p w14:paraId="2CF64BD6" w14:textId="043BAE7E"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1" w:history="1">
        <w:r w:rsidRPr="00F85774">
          <w:rPr>
            <w:rStyle w:val="Hypertextovodkaz"/>
            <w:noProof/>
            <w14:scene3d>
              <w14:camera w14:prst="orthographicFront"/>
              <w14:lightRig w14:rig="threePt" w14:dir="t">
                <w14:rot w14:lat="0" w14:lon="0" w14:rev="0"/>
              </w14:lightRig>
            </w14:scene3d>
          </w:rPr>
          <w:t>4.1.5</w:t>
        </w:r>
        <w:r>
          <w:rPr>
            <w:rFonts w:asciiTheme="minorHAnsi" w:eastAsiaTheme="minorEastAsia" w:hAnsiTheme="minorHAnsi" w:cstheme="minorBidi"/>
            <w:noProof/>
            <w:kern w:val="2"/>
            <w:sz w:val="24"/>
            <w:szCs w:val="24"/>
            <w14:ligatures w14:val="standardContextual"/>
          </w:rPr>
          <w:tab/>
        </w:r>
        <w:r w:rsidRPr="00F85774">
          <w:rPr>
            <w:rStyle w:val="Hypertextovodkaz"/>
            <w:noProof/>
          </w:rPr>
          <w:t>Průmyslová a ostatní odvětví hospodářství</w:t>
        </w:r>
        <w:r>
          <w:rPr>
            <w:noProof/>
            <w:webHidden/>
          </w:rPr>
          <w:tab/>
        </w:r>
        <w:r>
          <w:rPr>
            <w:noProof/>
            <w:webHidden/>
          </w:rPr>
          <w:fldChar w:fldCharType="begin"/>
        </w:r>
        <w:r>
          <w:rPr>
            <w:noProof/>
            <w:webHidden/>
          </w:rPr>
          <w:instrText xml:space="preserve"> PAGEREF _Toc239067831 \h </w:instrText>
        </w:r>
        <w:r>
          <w:rPr>
            <w:noProof/>
            <w:webHidden/>
          </w:rPr>
        </w:r>
        <w:r>
          <w:rPr>
            <w:noProof/>
            <w:webHidden/>
          </w:rPr>
          <w:fldChar w:fldCharType="separate"/>
        </w:r>
        <w:r>
          <w:rPr>
            <w:noProof/>
            <w:webHidden/>
          </w:rPr>
          <w:t>23</w:t>
        </w:r>
        <w:r>
          <w:rPr>
            <w:noProof/>
            <w:webHidden/>
          </w:rPr>
          <w:fldChar w:fldCharType="end"/>
        </w:r>
      </w:hyperlink>
    </w:p>
    <w:p w14:paraId="7FC81CDE" w14:textId="5C328E93"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2" w:history="1">
        <w:r w:rsidRPr="00F85774">
          <w:rPr>
            <w:rStyle w:val="Hypertextovodkaz"/>
            <w:noProof/>
            <w14:scene3d>
              <w14:camera w14:prst="orthographicFront"/>
              <w14:lightRig w14:rig="threePt" w14:dir="t">
                <w14:rot w14:lat="0" w14:lon="0" w14:rev="0"/>
              </w14:lightRig>
            </w14:scene3d>
          </w:rPr>
          <w:t>4.1.6</w:t>
        </w:r>
        <w:r>
          <w:rPr>
            <w:rFonts w:asciiTheme="minorHAnsi" w:eastAsiaTheme="minorEastAsia" w:hAnsiTheme="minorHAnsi" w:cstheme="minorBidi"/>
            <w:noProof/>
            <w:kern w:val="2"/>
            <w:sz w:val="24"/>
            <w:szCs w:val="24"/>
            <w14:ligatures w14:val="standardContextual"/>
          </w:rPr>
          <w:tab/>
        </w:r>
        <w:r w:rsidRPr="00F85774">
          <w:rPr>
            <w:rStyle w:val="Hypertextovodkaz"/>
            <w:noProof/>
          </w:rPr>
          <w:t>Zemědělství, lesní hospodářství a rybářství</w:t>
        </w:r>
        <w:r>
          <w:rPr>
            <w:noProof/>
            <w:webHidden/>
          </w:rPr>
          <w:tab/>
        </w:r>
        <w:r>
          <w:rPr>
            <w:noProof/>
            <w:webHidden/>
          </w:rPr>
          <w:fldChar w:fldCharType="begin"/>
        </w:r>
        <w:r>
          <w:rPr>
            <w:noProof/>
            <w:webHidden/>
          </w:rPr>
          <w:instrText xml:space="preserve"> PAGEREF _Toc239067832 \h </w:instrText>
        </w:r>
        <w:r>
          <w:rPr>
            <w:noProof/>
            <w:webHidden/>
          </w:rPr>
        </w:r>
        <w:r>
          <w:rPr>
            <w:noProof/>
            <w:webHidden/>
          </w:rPr>
          <w:fldChar w:fldCharType="separate"/>
        </w:r>
        <w:r>
          <w:rPr>
            <w:noProof/>
            <w:webHidden/>
          </w:rPr>
          <w:t>24</w:t>
        </w:r>
        <w:r>
          <w:rPr>
            <w:noProof/>
            <w:webHidden/>
          </w:rPr>
          <w:fldChar w:fldCharType="end"/>
        </w:r>
      </w:hyperlink>
    </w:p>
    <w:p w14:paraId="3B085F78" w14:textId="4C4DA70E"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33" w:history="1">
        <w:r w:rsidRPr="00F85774">
          <w:rPr>
            <w:rStyle w:val="Hypertextovodkaz"/>
            <w:noProof/>
          </w:rPr>
          <w:t>4.2</w:t>
        </w:r>
        <w:r>
          <w:rPr>
            <w:rFonts w:asciiTheme="minorHAnsi" w:eastAsiaTheme="minorEastAsia" w:hAnsiTheme="minorHAnsi" w:cstheme="minorBidi"/>
            <w:noProof/>
            <w:kern w:val="2"/>
            <w:sz w:val="24"/>
            <w:szCs w:val="24"/>
            <w14:ligatures w14:val="standardContextual"/>
          </w:rPr>
          <w:tab/>
        </w:r>
        <w:r w:rsidRPr="00F85774">
          <w:rPr>
            <w:rStyle w:val="Hypertextovodkaz"/>
            <w:noProof/>
          </w:rPr>
          <w:t>Kapitálové výdaje</w:t>
        </w:r>
        <w:r>
          <w:rPr>
            <w:noProof/>
            <w:webHidden/>
          </w:rPr>
          <w:tab/>
        </w:r>
        <w:r>
          <w:rPr>
            <w:noProof/>
            <w:webHidden/>
          </w:rPr>
          <w:fldChar w:fldCharType="begin"/>
        </w:r>
        <w:r>
          <w:rPr>
            <w:noProof/>
            <w:webHidden/>
          </w:rPr>
          <w:instrText xml:space="preserve"> PAGEREF _Toc239067833 \h </w:instrText>
        </w:r>
        <w:r>
          <w:rPr>
            <w:noProof/>
            <w:webHidden/>
          </w:rPr>
        </w:r>
        <w:r>
          <w:rPr>
            <w:noProof/>
            <w:webHidden/>
          </w:rPr>
          <w:fldChar w:fldCharType="separate"/>
        </w:r>
        <w:r>
          <w:rPr>
            <w:noProof/>
            <w:webHidden/>
          </w:rPr>
          <w:t>24</w:t>
        </w:r>
        <w:r>
          <w:rPr>
            <w:noProof/>
            <w:webHidden/>
          </w:rPr>
          <w:fldChar w:fldCharType="end"/>
        </w:r>
      </w:hyperlink>
    </w:p>
    <w:p w14:paraId="4B434AF2" w14:textId="0048A231"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34" w:history="1">
        <w:r w:rsidRPr="00F85774">
          <w:rPr>
            <w:rStyle w:val="Hypertextovodkaz"/>
            <w:noProof/>
          </w:rPr>
          <w:t>4.3</w:t>
        </w:r>
        <w:r>
          <w:rPr>
            <w:rFonts w:asciiTheme="minorHAnsi" w:eastAsiaTheme="minorEastAsia" w:hAnsiTheme="minorHAnsi" w:cstheme="minorBidi"/>
            <w:noProof/>
            <w:kern w:val="2"/>
            <w:sz w:val="24"/>
            <w:szCs w:val="24"/>
            <w14:ligatures w14:val="standardContextual"/>
          </w:rPr>
          <w:tab/>
        </w:r>
        <w:r w:rsidRPr="00F85774">
          <w:rPr>
            <w:rStyle w:val="Hypertextovodkaz"/>
            <w:noProof/>
          </w:rPr>
          <w:t>Mandatorní výdaje</w:t>
        </w:r>
        <w:r>
          <w:rPr>
            <w:noProof/>
            <w:webHidden/>
          </w:rPr>
          <w:tab/>
        </w:r>
        <w:r>
          <w:rPr>
            <w:noProof/>
            <w:webHidden/>
          </w:rPr>
          <w:fldChar w:fldCharType="begin"/>
        </w:r>
        <w:r>
          <w:rPr>
            <w:noProof/>
            <w:webHidden/>
          </w:rPr>
          <w:instrText xml:space="preserve"> PAGEREF _Toc239067834 \h </w:instrText>
        </w:r>
        <w:r>
          <w:rPr>
            <w:noProof/>
            <w:webHidden/>
          </w:rPr>
        </w:r>
        <w:r>
          <w:rPr>
            <w:noProof/>
            <w:webHidden/>
          </w:rPr>
          <w:fldChar w:fldCharType="separate"/>
        </w:r>
        <w:r>
          <w:rPr>
            <w:noProof/>
            <w:webHidden/>
          </w:rPr>
          <w:t>25</w:t>
        </w:r>
        <w:r>
          <w:rPr>
            <w:noProof/>
            <w:webHidden/>
          </w:rPr>
          <w:fldChar w:fldCharType="end"/>
        </w:r>
      </w:hyperlink>
    </w:p>
    <w:p w14:paraId="6F9F0346" w14:textId="230FB60B"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35" w:history="1">
        <w:r w:rsidRPr="00F85774">
          <w:rPr>
            <w:rStyle w:val="Hypertextovodkaz"/>
            <w:noProof/>
          </w:rPr>
          <w:t>4.4</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sociální transfery a státní politiku zaměstnanosti</w:t>
        </w:r>
        <w:r>
          <w:rPr>
            <w:noProof/>
            <w:webHidden/>
          </w:rPr>
          <w:tab/>
        </w:r>
        <w:r>
          <w:rPr>
            <w:noProof/>
            <w:webHidden/>
          </w:rPr>
          <w:fldChar w:fldCharType="begin"/>
        </w:r>
        <w:r>
          <w:rPr>
            <w:noProof/>
            <w:webHidden/>
          </w:rPr>
          <w:instrText xml:space="preserve"> PAGEREF _Toc239067835 \h </w:instrText>
        </w:r>
        <w:r>
          <w:rPr>
            <w:noProof/>
            <w:webHidden/>
          </w:rPr>
        </w:r>
        <w:r>
          <w:rPr>
            <w:noProof/>
            <w:webHidden/>
          </w:rPr>
          <w:fldChar w:fldCharType="separate"/>
        </w:r>
        <w:r>
          <w:rPr>
            <w:noProof/>
            <w:webHidden/>
          </w:rPr>
          <w:t>27</w:t>
        </w:r>
        <w:r>
          <w:rPr>
            <w:noProof/>
            <w:webHidden/>
          </w:rPr>
          <w:fldChar w:fldCharType="end"/>
        </w:r>
      </w:hyperlink>
    </w:p>
    <w:p w14:paraId="424D7AB5" w14:textId="7F66BEC6"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36" w:history="1">
        <w:r w:rsidRPr="00F85774">
          <w:rPr>
            <w:rStyle w:val="Hypertextovodkaz"/>
            <w:noProof/>
          </w:rPr>
          <w:t>4.5</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platy zaměstnanců a ostatní platby za provedenou práci</w:t>
        </w:r>
        <w:r>
          <w:rPr>
            <w:noProof/>
            <w:webHidden/>
          </w:rPr>
          <w:tab/>
        </w:r>
        <w:r>
          <w:rPr>
            <w:noProof/>
            <w:webHidden/>
          </w:rPr>
          <w:fldChar w:fldCharType="begin"/>
        </w:r>
        <w:r>
          <w:rPr>
            <w:noProof/>
            <w:webHidden/>
          </w:rPr>
          <w:instrText xml:space="preserve"> PAGEREF _Toc239067836 \h </w:instrText>
        </w:r>
        <w:r>
          <w:rPr>
            <w:noProof/>
            <w:webHidden/>
          </w:rPr>
        </w:r>
        <w:r>
          <w:rPr>
            <w:noProof/>
            <w:webHidden/>
          </w:rPr>
          <w:fldChar w:fldCharType="separate"/>
        </w:r>
        <w:r>
          <w:rPr>
            <w:noProof/>
            <w:webHidden/>
          </w:rPr>
          <w:t>31</w:t>
        </w:r>
        <w:r>
          <w:rPr>
            <w:noProof/>
            <w:webHidden/>
          </w:rPr>
          <w:fldChar w:fldCharType="end"/>
        </w:r>
      </w:hyperlink>
    </w:p>
    <w:p w14:paraId="31694959" w14:textId="7470040F"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7" w:history="1">
        <w:r w:rsidRPr="00F85774">
          <w:rPr>
            <w:rStyle w:val="Hypertextovodkaz"/>
            <w:noProof/>
            <w14:scene3d>
              <w14:camera w14:prst="orthographicFront"/>
              <w14:lightRig w14:rig="threePt" w14:dir="t">
                <w14:rot w14:lat="0" w14:lon="0" w14:rev="0"/>
              </w14:lightRig>
            </w14:scene3d>
          </w:rPr>
          <w:t>4.5.1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Vlivy nad rámec schváleného střednědobého výhledu na rok 2027</w:t>
        </w:r>
        <w:r>
          <w:rPr>
            <w:noProof/>
            <w:webHidden/>
          </w:rPr>
          <w:tab/>
        </w:r>
        <w:r>
          <w:rPr>
            <w:noProof/>
            <w:webHidden/>
          </w:rPr>
          <w:fldChar w:fldCharType="begin"/>
        </w:r>
        <w:r>
          <w:rPr>
            <w:noProof/>
            <w:webHidden/>
          </w:rPr>
          <w:instrText xml:space="preserve"> PAGEREF _Toc239067837 \h </w:instrText>
        </w:r>
        <w:r>
          <w:rPr>
            <w:noProof/>
            <w:webHidden/>
          </w:rPr>
        </w:r>
        <w:r>
          <w:rPr>
            <w:noProof/>
            <w:webHidden/>
          </w:rPr>
          <w:fldChar w:fldCharType="separate"/>
        </w:r>
        <w:r>
          <w:rPr>
            <w:noProof/>
            <w:webHidden/>
          </w:rPr>
          <w:t>34</w:t>
        </w:r>
        <w:r>
          <w:rPr>
            <w:noProof/>
            <w:webHidden/>
          </w:rPr>
          <w:fldChar w:fldCharType="end"/>
        </w:r>
      </w:hyperlink>
    </w:p>
    <w:p w14:paraId="2F2F9BC6" w14:textId="4D138973"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8" w:history="1">
        <w:r w:rsidRPr="00F85774">
          <w:rPr>
            <w:rStyle w:val="Hypertextovodkaz"/>
            <w:noProof/>
            <w14:scene3d>
              <w14:camera w14:prst="orthographicFront"/>
              <w14:lightRig w14:rig="threePt" w14:dir="t">
                <w14:rot w14:lat="0" w14:lon="0" w14:rev="0"/>
              </w14:lightRig>
            </w14:scene3d>
          </w:rPr>
          <w:t>4.5.2</w:t>
        </w:r>
        <w:r>
          <w:rPr>
            <w:rFonts w:asciiTheme="minorHAnsi" w:eastAsiaTheme="minorEastAsia" w:hAnsiTheme="minorHAnsi" w:cstheme="minorBidi"/>
            <w:noProof/>
            <w:kern w:val="2"/>
            <w:sz w:val="24"/>
            <w:szCs w:val="24"/>
            <w14:ligatures w14:val="standardContextual"/>
          </w:rPr>
          <w:tab/>
        </w:r>
        <w:r w:rsidRPr="00F85774">
          <w:rPr>
            <w:rStyle w:val="Hypertextovodkaz"/>
            <w:noProof/>
          </w:rPr>
          <w:t>Spolufinancování z Evropské unie a finančních mechanismů (EU/FM)</w:t>
        </w:r>
        <w:r>
          <w:rPr>
            <w:noProof/>
            <w:webHidden/>
          </w:rPr>
          <w:tab/>
        </w:r>
        <w:r>
          <w:rPr>
            <w:noProof/>
            <w:webHidden/>
          </w:rPr>
          <w:fldChar w:fldCharType="begin"/>
        </w:r>
        <w:r>
          <w:rPr>
            <w:noProof/>
            <w:webHidden/>
          </w:rPr>
          <w:instrText xml:space="preserve"> PAGEREF _Toc239067838 \h </w:instrText>
        </w:r>
        <w:r>
          <w:rPr>
            <w:noProof/>
            <w:webHidden/>
          </w:rPr>
        </w:r>
        <w:r>
          <w:rPr>
            <w:noProof/>
            <w:webHidden/>
          </w:rPr>
          <w:fldChar w:fldCharType="separate"/>
        </w:r>
        <w:r>
          <w:rPr>
            <w:noProof/>
            <w:webHidden/>
          </w:rPr>
          <w:t>35</w:t>
        </w:r>
        <w:r>
          <w:rPr>
            <w:noProof/>
            <w:webHidden/>
          </w:rPr>
          <w:fldChar w:fldCharType="end"/>
        </w:r>
      </w:hyperlink>
    </w:p>
    <w:p w14:paraId="5077B67F" w14:textId="1180EA09"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39" w:history="1">
        <w:r w:rsidRPr="00F85774">
          <w:rPr>
            <w:rStyle w:val="Hypertextovodkaz"/>
            <w:noProof/>
            <w14:scene3d>
              <w14:camera w14:prst="orthographicFront"/>
              <w14:lightRig w14:rig="threePt" w14:dir="t">
                <w14:rot w14:lat="0" w14:lon="0" w14:rev="0"/>
              </w14:lightRig>
            </w14:scene3d>
          </w:rPr>
          <w:t>4.5.3</w:t>
        </w:r>
        <w:r>
          <w:rPr>
            <w:rFonts w:asciiTheme="minorHAnsi" w:eastAsiaTheme="minorEastAsia" w:hAnsiTheme="minorHAnsi" w:cstheme="minorBidi"/>
            <w:noProof/>
            <w:kern w:val="2"/>
            <w:sz w:val="24"/>
            <w:szCs w:val="24"/>
            <w14:ligatures w14:val="standardContextual"/>
          </w:rPr>
          <w:tab/>
        </w:r>
        <w:r w:rsidRPr="00F85774">
          <w:rPr>
            <w:rStyle w:val="Hypertextovodkaz"/>
            <w:noProof/>
          </w:rPr>
          <w:t>Průměrné platy a průměrné peněžní příjmy</w:t>
        </w:r>
        <w:r>
          <w:rPr>
            <w:noProof/>
            <w:webHidden/>
          </w:rPr>
          <w:tab/>
        </w:r>
        <w:r>
          <w:rPr>
            <w:noProof/>
            <w:webHidden/>
          </w:rPr>
          <w:fldChar w:fldCharType="begin"/>
        </w:r>
        <w:r>
          <w:rPr>
            <w:noProof/>
            <w:webHidden/>
          </w:rPr>
          <w:instrText xml:space="preserve"> PAGEREF _Toc239067839 \h </w:instrText>
        </w:r>
        <w:r>
          <w:rPr>
            <w:noProof/>
            <w:webHidden/>
          </w:rPr>
        </w:r>
        <w:r>
          <w:rPr>
            <w:noProof/>
            <w:webHidden/>
          </w:rPr>
          <w:fldChar w:fldCharType="separate"/>
        </w:r>
        <w:r>
          <w:rPr>
            <w:noProof/>
            <w:webHidden/>
          </w:rPr>
          <w:t>37</w:t>
        </w:r>
        <w:r>
          <w:rPr>
            <w:noProof/>
            <w:webHidden/>
          </w:rPr>
          <w:fldChar w:fldCharType="end"/>
        </w:r>
      </w:hyperlink>
    </w:p>
    <w:p w14:paraId="1BA10F7D" w14:textId="046A850F"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0" w:history="1">
        <w:r w:rsidRPr="00F85774">
          <w:rPr>
            <w:rStyle w:val="Hypertextovodkaz"/>
            <w:noProof/>
          </w:rPr>
          <w:t>4.6</w:t>
        </w:r>
        <w:r>
          <w:rPr>
            <w:rFonts w:asciiTheme="minorHAnsi" w:eastAsiaTheme="minorEastAsia" w:hAnsiTheme="minorHAnsi" w:cstheme="minorBidi"/>
            <w:noProof/>
            <w:kern w:val="2"/>
            <w:sz w:val="24"/>
            <w:szCs w:val="24"/>
            <w14:ligatures w14:val="standardContextual"/>
          </w:rPr>
          <w:tab/>
        </w:r>
        <w:r w:rsidRPr="00F85774">
          <w:rPr>
            <w:rStyle w:val="Hypertextovodkaz"/>
            <w:noProof/>
          </w:rPr>
          <w:t>Běžné výdaje</w:t>
        </w:r>
        <w:r>
          <w:rPr>
            <w:noProof/>
            <w:webHidden/>
          </w:rPr>
          <w:tab/>
        </w:r>
        <w:r>
          <w:rPr>
            <w:noProof/>
            <w:webHidden/>
          </w:rPr>
          <w:fldChar w:fldCharType="begin"/>
        </w:r>
        <w:r>
          <w:rPr>
            <w:noProof/>
            <w:webHidden/>
          </w:rPr>
          <w:instrText xml:space="preserve"> PAGEREF _Toc239067840 \h </w:instrText>
        </w:r>
        <w:r>
          <w:rPr>
            <w:noProof/>
            <w:webHidden/>
          </w:rPr>
        </w:r>
        <w:r>
          <w:rPr>
            <w:noProof/>
            <w:webHidden/>
          </w:rPr>
          <w:fldChar w:fldCharType="separate"/>
        </w:r>
        <w:r>
          <w:rPr>
            <w:noProof/>
            <w:webHidden/>
          </w:rPr>
          <w:t>39</w:t>
        </w:r>
        <w:r>
          <w:rPr>
            <w:noProof/>
            <w:webHidden/>
          </w:rPr>
          <w:fldChar w:fldCharType="end"/>
        </w:r>
      </w:hyperlink>
    </w:p>
    <w:p w14:paraId="0CDBF0BA" w14:textId="7CD26E8C"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41" w:history="1">
        <w:r w:rsidRPr="00F85774">
          <w:rPr>
            <w:rStyle w:val="Hypertextovodkaz"/>
            <w:noProof/>
            <w14:scene3d>
              <w14:camera w14:prst="orthographicFront"/>
              <w14:lightRig w14:rig="threePt" w14:dir="t">
                <w14:rot w14:lat="0" w14:lon="0" w14:rev="0"/>
              </w14:lightRig>
            </w14:scene3d>
          </w:rPr>
          <w:t>4.6.1</w:t>
        </w:r>
        <w:r>
          <w:rPr>
            <w:rFonts w:asciiTheme="minorHAnsi" w:eastAsiaTheme="minorEastAsia" w:hAnsiTheme="minorHAnsi" w:cstheme="minorBidi"/>
            <w:noProof/>
            <w:kern w:val="2"/>
            <w:sz w:val="24"/>
            <w:szCs w:val="24"/>
            <w14:ligatures w14:val="standardContextual"/>
          </w:rPr>
          <w:tab/>
        </w:r>
        <w:r w:rsidRPr="00F85774">
          <w:rPr>
            <w:rStyle w:val="Hypertextovodkaz"/>
            <w:noProof/>
          </w:rPr>
          <w:t>Běžné výdaje na provoz organizačních složek státu</w:t>
        </w:r>
        <w:r>
          <w:rPr>
            <w:noProof/>
            <w:webHidden/>
          </w:rPr>
          <w:tab/>
        </w:r>
        <w:r>
          <w:rPr>
            <w:noProof/>
            <w:webHidden/>
          </w:rPr>
          <w:fldChar w:fldCharType="begin"/>
        </w:r>
        <w:r>
          <w:rPr>
            <w:noProof/>
            <w:webHidden/>
          </w:rPr>
          <w:instrText xml:space="preserve"> PAGEREF _Toc239067841 \h </w:instrText>
        </w:r>
        <w:r>
          <w:rPr>
            <w:noProof/>
            <w:webHidden/>
          </w:rPr>
        </w:r>
        <w:r>
          <w:rPr>
            <w:noProof/>
            <w:webHidden/>
          </w:rPr>
          <w:fldChar w:fldCharType="separate"/>
        </w:r>
        <w:r>
          <w:rPr>
            <w:noProof/>
            <w:webHidden/>
          </w:rPr>
          <w:t>40</w:t>
        </w:r>
        <w:r>
          <w:rPr>
            <w:noProof/>
            <w:webHidden/>
          </w:rPr>
          <w:fldChar w:fldCharType="end"/>
        </w:r>
      </w:hyperlink>
    </w:p>
    <w:p w14:paraId="6CAEB987" w14:textId="7194A362"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2" w:history="1">
        <w:r w:rsidRPr="00F85774">
          <w:rPr>
            <w:rStyle w:val="Hypertextovodkaz"/>
            <w:noProof/>
          </w:rPr>
          <w:t>4.7</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financování programů</w:t>
        </w:r>
        <w:r>
          <w:rPr>
            <w:noProof/>
            <w:webHidden/>
          </w:rPr>
          <w:tab/>
        </w:r>
        <w:r>
          <w:rPr>
            <w:noProof/>
            <w:webHidden/>
          </w:rPr>
          <w:fldChar w:fldCharType="begin"/>
        </w:r>
        <w:r>
          <w:rPr>
            <w:noProof/>
            <w:webHidden/>
          </w:rPr>
          <w:instrText xml:space="preserve"> PAGEREF _Toc239067842 \h </w:instrText>
        </w:r>
        <w:r>
          <w:rPr>
            <w:noProof/>
            <w:webHidden/>
          </w:rPr>
        </w:r>
        <w:r>
          <w:rPr>
            <w:noProof/>
            <w:webHidden/>
          </w:rPr>
          <w:fldChar w:fldCharType="separate"/>
        </w:r>
        <w:r>
          <w:rPr>
            <w:noProof/>
            <w:webHidden/>
          </w:rPr>
          <w:t>45</w:t>
        </w:r>
        <w:r>
          <w:rPr>
            <w:noProof/>
            <w:webHidden/>
          </w:rPr>
          <w:fldChar w:fldCharType="end"/>
        </w:r>
      </w:hyperlink>
    </w:p>
    <w:p w14:paraId="06106576" w14:textId="165C28BA"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3" w:history="1">
        <w:r w:rsidRPr="00F85774">
          <w:rPr>
            <w:rStyle w:val="Hypertextovodkaz"/>
            <w:noProof/>
          </w:rPr>
          <w:t>4.8</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neinvestiční transfery podnikatelským subjektům</w:t>
        </w:r>
        <w:r>
          <w:rPr>
            <w:noProof/>
            <w:webHidden/>
          </w:rPr>
          <w:tab/>
        </w:r>
        <w:r>
          <w:rPr>
            <w:noProof/>
            <w:webHidden/>
          </w:rPr>
          <w:fldChar w:fldCharType="begin"/>
        </w:r>
        <w:r>
          <w:rPr>
            <w:noProof/>
            <w:webHidden/>
          </w:rPr>
          <w:instrText xml:space="preserve"> PAGEREF _Toc239067843 \h </w:instrText>
        </w:r>
        <w:r>
          <w:rPr>
            <w:noProof/>
            <w:webHidden/>
          </w:rPr>
        </w:r>
        <w:r>
          <w:rPr>
            <w:noProof/>
            <w:webHidden/>
          </w:rPr>
          <w:fldChar w:fldCharType="separate"/>
        </w:r>
        <w:r>
          <w:rPr>
            <w:noProof/>
            <w:webHidden/>
          </w:rPr>
          <w:t>46</w:t>
        </w:r>
        <w:r>
          <w:rPr>
            <w:noProof/>
            <w:webHidden/>
          </w:rPr>
          <w:fldChar w:fldCharType="end"/>
        </w:r>
      </w:hyperlink>
    </w:p>
    <w:p w14:paraId="3E110542" w14:textId="713ECD79"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4" w:history="1">
        <w:r w:rsidRPr="00F85774">
          <w:rPr>
            <w:rStyle w:val="Hypertextovodkaz"/>
            <w:noProof/>
          </w:rPr>
          <w:t>4.9</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státu na podporu činnosti nestátních neziskových organizací</w:t>
        </w:r>
        <w:r>
          <w:rPr>
            <w:noProof/>
            <w:webHidden/>
          </w:rPr>
          <w:tab/>
        </w:r>
        <w:r>
          <w:rPr>
            <w:noProof/>
            <w:webHidden/>
          </w:rPr>
          <w:fldChar w:fldCharType="begin"/>
        </w:r>
        <w:r>
          <w:rPr>
            <w:noProof/>
            <w:webHidden/>
          </w:rPr>
          <w:instrText xml:space="preserve"> PAGEREF _Toc239067844 \h </w:instrText>
        </w:r>
        <w:r>
          <w:rPr>
            <w:noProof/>
            <w:webHidden/>
          </w:rPr>
        </w:r>
        <w:r>
          <w:rPr>
            <w:noProof/>
            <w:webHidden/>
          </w:rPr>
          <w:fldChar w:fldCharType="separate"/>
        </w:r>
        <w:r>
          <w:rPr>
            <w:noProof/>
            <w:webHidden/>
          </w:rPr>
          <w:t>48</w:t>
        </w:r>
        <w:r>
          <w:rPr>
            <w:noProof/>
            <w:webHidden/>
          </w:rPr>
          <w:fldChar w:fldCharType="end"/>
        </w:r>
      </w:hyperlink>
    </w:p>
    <w:p w14:paraId="2E0380F5" w14:textId="4DCE9462"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5" w:history="1">
        <w:r w:rsidRPr="00F85774">
          <w:rPr>
            <w:rStyle w:val="Hypertextovodkaz"/>
            <w:noProof/>
          </w:rPr>
          <w:t>4.10</w:t>
        </w:r>
        <w:r>
          <w:rPr>
            <w:rFonts w:asciiTheme="minorHAnsi" w:eastAsiaTheme="minorEastAsia" w:hAnsiTheme="minorHAnsi" w:cstheme="minorBidi"/>
            <w:noProof/>
            <w:kern w:val="2"/>
            <w:sz w:val="24"/>
            <w:szCs w:val="24"/>
            <w14:ligatures w14:val="standardContextual"/>
          </w:rPr>
          <w:tab/>
        </w:r>
        <w:r w:rsidRPr="00F85774">
          <w:rPr>
            <w:rStyle w:val="Hypertextovodkaz"/>
            <w:noProof/>
          </w:rPr>
          <w:t>Státní záruky</w:t>
        </w:r>
        <w:r>
          <w:rPr>
            <w:noProof/>
            <w:webHidden/>
          </w:rPr>
          <w:tab/>
        </w:r>
        <w:r>
          <w:rPr>
            <w:noProof/>
            <w:webHidden/>
          </w:rPr>
          <w:fldChar w:fldCharType="begin"/>
        </w:r>
        <w:r>
          <w:rPr>
            <w:noProof/>
            <w:webHidden/>
          </w:rPr>
          <w:instrText xml:space="preserve"> PAGEREF _Toc239067845 \h </w:instrText>
        </w:r>
        <w:r>
          <w:rPr>
            <w:noProof/>
            <w:webHidden/>
          </w:rPr>
        </w:r>
        <w:r>
          <w:rPr>
            <w:noProof/>
            <w:webHidden/>
          </w:rPr>
          <w:fldChar w:fldCharType="separate"/>
        </w:r>
        <w:r>
          <w:rPr>
            <w:noProof/>
            <w:webHidden/>
          </w:rPr>
          <w:t>50</w:t>
        </w:r>
        <w:r>
          <w:rPr>
            <w:noProof/>
            <w:webHidden/>
          </w:rPr>
          <w:fldChar w:fldCharType="end"/>
        </w:r>
      </w:hyperlink>
    </w:p>
    <w:p w14:paraId="5776F186" w14:textId="134EFE2E"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6" w:history="1">
        <w:r w:rsidRPr="00F85774">
          <w:rPr>
            <w:rStyle w:val="Hypertextovodkaz"/>
            <w:noProof/>
          </w:rPr>
          <w:t>4.11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výzkum, vývoj, inovace a transfer znalostí</w:t>
        </w:r>
        <w:r>
          <w:rPr>
            <w:noProof/>
            <w:webHidden/>
          </w:rPr>
          <w:tab/>
        </w:r>
        <w:r>
          <w:rPr>
            <w:noProof/>
            <w:webHidden/>
          </w:rPr>
          <w:fldChar w:fldCharType="begin"/>
        </w:r>
        <w:r>
          <w:rPr>
            <w:noProof/>
            <w:webHidden/>
          </w:rPr>
          <w:instrText xml:space="preserve"> PAGEREF _Toc239067846 \h </w:instrText>
        </w:r>
        <w:r>
          <w:rPr>
            <w:noProof/>
            <w:webHidden/>
          </w:rPr>
        </w:r>
        <w:r>
          <w:rPr>
            <w:noProof/>
            <w:webHidden/>
          </w:rPr>
          <w:fldChar w:fldCharType="separate"/>
        </w:r>
        <w:r>
          <w:rPr>
            <w:noProof/>
            <w:webHidden/>
          </w:rPr>
          <w:t>51</w:t>
        </w:r>
        <w:r>
          <w:rPr>
            <w:noProof/>
            <w:webHidden/>
          </w:rPr>
          <w:fldChar w:fldCharType="end"/>
        </w:r>
      </w:hyperlink>
    </w:p>
    <w:p w14:paraId="091C7634" w14:textId="56EBC1FF"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47" w:history="1">
        <w:r w:rsidRPr="00F85774">
          <w:rPr>
            <w:rStyle w:val="Hypertextovodkaz"/>
            <w:noProof/>
          </w:rPr>
          <w:t>4.12</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obranu státu</w:t>
        </w:r>
        <w:r>
          <w:rPr>
            <w:noProof/>
            <w:webHidden/>
          </w:rPr>
          <w:tab/>
        </w:r>
        <w:r>
          <w:rPr>
            <w:noProof/>
            <w:webHidden/>
          </w:rPr>
          <w:fldChar w:fldCharType="begin"/>
        </w:r>
        <w:r>
          <w:rPr>
            <w:noProof/>
            <w:webHidden/>
          </w:rPr>
          <w:instrText xml:space="preserve"> PAGEREF _Toc239067847 \h </w:instrText>
        </w:r>
        <w:r>
          <w:rPr>
            <w:noProof/>
            <w:webHidden/>
          </w:rPr>
        </w:r>
        <w:r>
          <w:rPr>
            <w:noProof/>
            <w:webHidden/>
          </w:rPr>
          <w:fldChar w:fldCharType="separate"/>
        </w:r>
        <w:r>
          <w:rPr>
            <w:noProof/>
            <w:webHidden/>
          </w:rPr>
          <w:t>53</w:t>
        </w:r>
        <w:r>
          <w:rPr>
            <w:noProof/>
            <w:webHidden/>
          </w:rPr>
          <w:fldChar w:fldCharType="end"/>
        </w:r>
      </w:hyperlink>
    </w:p>
    <w:p w14:paraId="23EF582C" w14:textId="5D194DB0"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48" w:history="1">
        <w:r w:rsidRPr="00F85774">
          <w:rPr>
            <w:rStyle w:val="Hypertextovodkaz"/>
            <w:noProof/>
            <w14:scene3d>
              <w14:camera w14:prst="orthographicFront"/>
              <w14:lightRig w14:rig="threePt" w14:dir="t">
                <w14:rot w14:lat="0" w14:lon="0" w14:rev="0"/>
              </w14:lightRig>
            </w14:scene3d>
          </w:rPr>
          <w:t>4.12.1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obranu státu - závazný průřezový ukazatel ve státním rozpočtu</w:t>
        </w:r>
        <w:r>
          <w:rPr>
            <w:noProof/>
            <w:webHidden/>
          </w:rPr>
          <w:tab/>
        </w:r>
        <w:r>
          <w:rPr>
            <w:noProof/>
            <w:webHidden/>
          </w:rPr>
          <w:fldChar w:fldCharType="begin"/>
        </w:r>
        <w:r>
          <w:rPr>
            <w:noProof/>
            <w:webHidden/>
          </w:rPr>
          <w:instrText xml:space="preserve"> PAGEREF _Toc239067848 \h </w:instrText>
        </w:r>
        <w:r>
          <w:rPr>
            <w:noProof/>
            <w:webHidden/>
          </w:rPr>
        </w:r>
        <w:r>
          <w:rPr>
            <w:noProof/>
            <w:webHidden/>
          </w:rPr>
          <w:fldChar w:fldCharType="separate"/>
        </w:r>
        <w:r>
          <w:rPr>
            <w:noProof/>
            <w:webHidden/>
          </w:rPr>
          <w:t>53</w:t>
        </w:r>
        <w:r>
          <w:rPr>
            <w:noProof/>
            <w:webHidden/>
          </w:rPr>
          <w:fldChar w:fldCharType="end"/>
        </w:r>
      </w:hyperlink>
    </w:p>
    <w:p w14:paraId="30165B10" w14:textId="07F2474D"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49" w:history="1">
        <w:r w:rsidRPr="00F85774">
          <w:rPr>
            <w:rStyle w:val="Hypertextovodkaz"/>
            <w:noProof/>
            <w14:scene3d>
              <w14:camera w14:prst="orthographicFront"/>
              <w14:lightRig w14:rig="threePt" w14:dir="t">
                <w14:rot w14:lat="0" w14:lon="0" w14:rev="0"/>
              </w14:lightRig>
            </w14:scene3d>
          </w:rPr>
          <w:t>4.12.2</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související s obranou a bezpečností</w:t>
        </w:r>
        <w:r>
          <w:rPr>
            <w:noProof/>
            <w:webHidden/>
          </w:rPr>
          <w:tab/>
        </w:r>
        <w:r>
          <w:rPr>
            <w:noProof/>
            <w:webHidden/>
          </w:rPr>
          <w:fldChar w:fldCharType="begin"/>
        </w:r>
        <w:r>
          <w:rPr>
            <w:noProof/>
            <w:webHidden/>
          </w:rPr>
          <w:instrText xml:space="preserve"> PAGEREF _Toc239067849 \h </w:instrText>
        </w:r>
        <w:r>
          <w:rPr>
            <w:noProof/>
            <w:webHidden/>
          </w:rPr>
        </w:r>
        <w:r>
          <w:rPr>
            <w:noProof/>
            <w:webHidden/>
          </w:rPr>
          <w:fldChar w:fldCharType="separate"/>
        </w:r>
        <w:r>
          <w:rPr>
            <w:noProof/>
            <w:webHidden/>
          </w:rPr>
          <w:t>55</w:t>
        </w:r>
        <w:r>
          <w:rPr>
            <w:noProof/>
            <w:webHidden/>
          </w:rPr>
          <w:fldChar w:fldCharType="end"/>
        </w:r>
      </w:hyperlink>
    </w:p>
    <w:p w14:paraId="64B04ECD" w14:textId="1FDE5E1E"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50" w:history="1">
        <w:r w:rsidRPr="00F85774">
          <w:rPr>
            <w:rStyle w:val="Hypertextovodkaz"/>
          </w:rPr>
          <w:t>5</w:t>
        </w:r>
        <w:r>
          <w:rPr>
            <w:rFonts w:asciiTheme="minorHAnsi" w:eastAsiaTheme="minorEastAsia" w:hAnsiTheme="minorHAnsi" w:cstheme="minorBidi"/>
            <w:b w:val="0"/>
            <w:kern w:val="2"/>
            <w:sz w:val="24"/>
            <w:szCs w:val="24"/>
            <w14:ligatures w14:val="standardContextual"/>
          </w:rPr>
          <w:tab/>
        </w:r>
        <w:r w:rsidRPr="00F85774">
          <w:rPr>
            <w:rStyle w:val="Hypertextovodkaz"/>
          </w:rPr>
          <w:t>Komentáře k rozpočtům vybraných kapitol státního rozpočtu</w:t>
        </w:r>
        <w:r>
          <w:rPr>
            <w:webHidden/>
          </w:rPr>
          <w:tab/>
        </w:r>
        <w:r>
          <w:rPr>
            <w:webHidden/>
          </w:rPr>
          <w:fldChar w:fldCharType="begin"/>
        </w:r>
        <w:r>
          <w:rPr>
            <w:webHidden/>
          </w:rPr>
          <w:instrText xml:space="preserve"> PAGEREF _Toc239067850 \h </w:instrText>
        </w:r>
        <w:r>
          <w:rPr>
            <w:webHidden/>
          </w:rPr>
        </w:r>
        <w:r>
          <w:rPr>
            <w:webHidden/>
          </w:rPr>
          <w:fldChar w:fldCharType="separate"/>
        </w:r>
        <w:r>
          <w:rPr>
            <w:webHidden/>
          </w:rPr>
          <w:t>56</w:t>
        </w:r>
        <w:r>
          <w:rPr>
            <w:webHidden/>
          </w:rPr>
          <w:fldChar w:fldCharType="end"/>
        </w:r>
      </w:hyperlink>
    </w:p>
    <w:p w14:paraId="5ACBEE14" w14:textId="51D82021"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1" w:history="1">
        <w:r w:rsidRPr="00F85774">
          <w:rPr>
            <w:rStyle w:val="Hypertextovodkaz"/>
            <w:noProof/>
          </w:rPr>
          <w:t>5.1</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financí</w:t>
        </w:r>
        <w:r>
          <w:rPr>
            <w:noProof/>
            <w:webHidden/>
          </w:rPr>
          <w:tab/>
        </w:r>
        <w:r>
          <w:rPr>
            <w:noProof/>
            <w:webHidden/>
          </w:rPr>
          <w:fldChar w:fldCharType="begin"/>
        </w:r>
        <w:r>
          <w:rPr>
            <w:noProof/>
            <w:webHidden/>
          </w:rPr>
          <w:instrText xml:space="preserve"> PAGEREF _Toc239067851 \h </w:instrText>
        </w:r>
        <w:r>
          <w:rPr>
            <w:noProof/>
            <w:webHidden/>
          </w:rPr>
        </w:r>
        <w:r>
          <w:rPr>
            <w:noProof/>
            <w:webHidden/>
          </w:rPr>
          <w:fldChar w:fldCharType="separate"/>
        </w:r>
        <w:r>
          <w:rPr>
            <w:noProof/>
            <w:webHidden/>
          </w:rPr>
          <w:t>56</w:t>
        </w:r>
        <w:r>
          <w:rPr>
            <w:noProof/>
            <w:webHidden/>
          </w:rPr>
          <w:fldChar w:fldCharType="end"/>
        </w:r>
      </w:hyperlink>
    </w:p>
    <w:p w14:paraId="5C796CC6" w14:textId="4AF908F1"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2" w:history="1">
        <w:r w:rsidRPr="00F85774">
          <w:rPr>
            <w:rStyle w:val="Hypertextovodkaz"/>
            <w:noProof/>
          </w:rPr>
          <w:t>5.2</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vnitra</w:t>
        </w:r>
        <w:r>
          <w:rPr>
            <w:noProof/>
            <w:webHidden/>
          </w:rPr>
          <w:tab/>
        </w:r>
        <w:r>
          <w:rPr>
            <w:noProof/>
            <w:webHidden/>
          </w:rPr>
          <w:fldChar w:fldCharType="begin"/>
        </w:r>
        <w:r>
          <w:rPr>
            <w:noProof/>
            <w:webHidden/>
          </w:rPr>
          <w:instrText xml:space="preserve"> PAGEREF _Toc239067852 \h </w:instrText>
        </w:r>
        <w:r>
          <w:rPr>
            <w:noProof/>
            <w:webHidden/>
          </w:rPr>
        </w:r>
        <w:r>
          <w:rPr>
            <w:noProof/>
            <w:webHidden/>
          </w:rPr>
          <w:fldChar w:fldCharType="separate"/>
        </w:r>
        <w:r>
          <w:rPr>
            <w:noProof/>
            <w:webHidden/>
          </w:rPr>
          <w:t>57</w:t>
        </w:r>
        <w:r>
          <w:rPr>
            <w:noProof/>
            <w:webHidden/>
          </w:rPr>
          <w:fldChar w:fldCharType="end"/>
        </w:r>
      </w:hyperlink>
    </w:p>
    <w:p w14:paraId="394EDD45" w14:textId="6FF65CE5"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3" w:history="1">
        <w:r w:rsidRPr="00F85774">
          <w:rPr>
            <w:rStyle w:val="Hypertextovodkaz"/>
            <w:noProof/>
          </w:rPr>
          <w:t>5.3</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životního prostředí</w:t>
        </w:r>
        <w:r>
          <w:rPr>
            <w:noProof/>
            <w:webHidden/>
          </w:rPr>
          <w:tab/>
        </w:r>
        <w:r>
          <w:rPr>
            <w:noProof/>
            <w:webHidden/>
          </w:rPr>
          <w:fldChar w:fldCharType="begin"/>
        </w:r>
        <w:r>
          <w:rPr>
            <w:noProof/>
            <w:webHidden/>
          </w:rPr>
          <w:instrText xml:space="preserve"> PAGEREF _Toc239067853 \h </w:instrText>
        </w:r>
        <w:r>
          <w:rPr>
            <w:noProof/>
            <w:webHidden/>
          </w:rPr>
        </w:r>
        <w:r>
          <w:rPr>
            <w:noProof/>
            <w:webHidden/>
          </w:rPr>
          <w:fldChar w:fldCharType="separate"/>
        </w:r>
        <w:r>
          <w:rPr>
            <w:noProof/>
            <w:webHidden/>
          </w:rPr>
          <w:t>57</w:t>
        </w:r>
        <w:r>
          <w:rPr>
            <w:noProof/>
            <w:webHidden/>
          </w:rPr>
          <w:fldChar w:fldCharType="end"/>
        </w:r>
      </w:hyperlink>
    </w:p>
    <w:p w14:paraId="218B64C7" w14:textId="6EEEE5F9"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4" w:history="1">
        <w:r w:rsidRPr="00F85774">
          <w:rPr>
            <w:rStyle w:val="Hypertextovodkaz"/>
            <w:noProof/>
          </w:rPr>
          <w:t>5.4</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pro místní rozvoj</w:t>
        </w:r>
        <w:r>
          <w:rPr>
            <w:noProof/>
            <w:webHidden/>
          </w:rPr>
          <w:tab/>
        </w:r>
        <w:r>
          <w:rPr>
            <w:noProof/>
            <w:webHidden/>
          </w:rPr>
          <w:fldChar w:fldCharType="begin"/>
        </w:r>
        <w:r>
          <w:rPr>
            <w:noProof/>
            <w:webHidden/>
          </w:rPr>
          <w:instrText xml:space="preserve"> PAGEREF _Toc239067854 \h </w:instrText>
        </w:r>
        <w:r>
          <w:rPr>
            <w:noProof/>
            <w:webHidden/>
          </w:rPr>
        </w:r>
        <w:r>
          <w:rPr>
            <w:noProof/>
            <w:webHidden/>
          </w:rPr>
          <w:fldChar w:fldCharType="separate"/>
        </w:r>
        <w:r>
          <w:rPr>
            <w:noProof/>
            <w:webHidden/>
          </w:rPr>
          <w:t>58</w:t>
        </w:r>
        <w:r>
          <w:rPr>
            <w:noProof/>
            <w:webHidden/>
          </w:rPr>
          <w:fldChar w:fldCharType="end"/>
        </w:r>
      </w:hyperlink>
    </w:p>
    <w:p w14:paraId="7BA5EF6B" w14:textId="43AE9315"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5" w:history="1">
        <w:r w:rsidRPr="00F85774">
          <w:rPr>
            <w:rStyle w:val="Hypertextovodkaz"/>
            <w:noProof/>
          </w:rPr>
          <w:t>5.5</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průmyslu a obchodu</w:t>
        </w:r>
        <w:r>
          <w:rPr>
            <w:noProof/>
            <w:webHidden/>
          </w:rPr>
          <w:tab/>
        </w:r>
        <w:r>
          <w:rPr>
            <w:noProof/>
            <w:webHidden/>
          </w:rPr>
          <w:fldChar w:fldCharType="begin"/>
        </w:r>
        <w:r>
          <w:rPr>
            <w:noProof/>
            <w:webHidden/>
          </w:rPr>
          <w:instrText xml:space="preserve"> PAGEREF _Toc239067855 \h </w:instrText>
        </w:r>
        <w:r>
          <w:rPr>
            <w:noProof/>
            <w:webHidden/>
          </w:rPr>
        </w:r>
        <w:r>
          <w:rPr>
            <w:noProof/>
            <w:webHidden/>
          </w:rPr>
          <w:fldChar w:fldCharType="separate"/>
        </w:r>
        <w:r>
          <w:rPr>
            <w:noProof/>
            <w:webHidden/>
          </w:rPr>
          <w:t>59</w:t>
        </w:r>
        <w:r>
          <w:rPr>
            <w:noProof/>
            <w:webHidden/>
          </w:rPr>
          <w:fldChar w:fldCharType="end"/>
        </w:r>
      </w:hyperlink>
    </w:p>
    <w:p w14:paraId="27DEE6DD" w14:textId="01A90F0E"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6" w:history="1">
        <w:r w:rsidRPr="00F85774">
          <w:rPr>
            <w:rStyle w:val="Hypertextovodkaz"/>
            <w:noProof/>
          </w:rPr>
          <w:t>5.6</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dopravy</w:t>
        </w:r>
        <w:r>
          <w:rPr>
            <w:noProof/>
            <w:webHidden/>
          </w:rPr>
          <w:tab/>
        </w:r>
        <w:r>
          <w:rPr>
            <w:noProof/>
            <w:webHidden/>
          </w:rPr>
          <w:fldChar w:fldCharType="begin"/>
        </w:r>
        <w:r>
          <w:rPr>
            <w:noProof/>
            <w:webHidden/>
          </w:rPr>
          <w:instrText xml:space="preserve"> PAGEREF _Toc239067856 \h </w:instrText>
        </w:r>
        <w:r>
          <w:rPr>
            <w:noProof/>
            <w:webHidden/>
          </w:rPr>
        </w:r>
        <w:r>
          <w:rPr>
            <w:noProof/>
            <w:webHidden/>
          </w:rPr>
          <w:fldChar w:fldCharType="separate"/>
        </w:r>
        <w:r>
          <w:rPr>
            <w:noProof/>
            <w:webHidden/>
          </w:rPr>
          <w:t>60</w:t>
        </w:r>
        <w:r>
          <w:rPr>
            <w:noProof/>
            <w:webHidden/>
          </w:rPr>
          <w:fldChar w:fldCharType="end"/>
        </w:r>
      </w:hyperlink>
    </w:p>
    <w:p w14:paraId="2D4B8407" w14:textId="730A0CEB"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7" w:history="1">
        <w:r w:rsidRPr="00F85774">
          <w:rPr>
            <w:rStyle w:val="Hypertextovodkaz"/>
            <w:noProof/>
          </w:rPr>
          <w:t>5.7</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zemědělství</w:t>
        </w:r>
        <w:r>
          <w:rPr>
            <w:noProof/>
            <w:webHidden/>
          </w:rPr>
          <w:tab/>
        </w:r>
        <w:r>
          <w:rPr>
            <w:noProof/>
            <w:webHidden/>
          </w:rPr>
          <w:fldChar w:fldCharType="begin"/>
        </w:r>
        <w:r>
          <w:rPr>
            <w:noProof/>
            <w:webHidden/>
          </w:rPr>
          <w:instrText xml:space="preserve"> PAGEREF _Toc239067857 \h </w:instrText>
        </w:r>
        <w:r>
          <w:rPr>
            <w:noProof/>
            <w:webHidden/>
          </w:rPr>
        </w:r>
        <w:r>
          <w:rPr>
            <w:noProof/>
            <w:webHidden/>
          </w:rPr>
          <w:fldChar w:fldCharType="separate"/>
        </w:r>
        <w:r>
          <w:rPr>
            <w:noProof/>
            <w:webHidden/>
          </w:rPr>
          <w:t>60</w:t>
        </w:r>
        <w:r>
          <w:rPr>
            <w:noProof/>
            <w:webHidden/>
          </w:rPr>
          <w:fldChar w:fldCharType="end"/>
        </w:r>
      </w:hyperlink>
    </w:p>
    <w:p w14:paraId="4514CEEB" w14:textId="556DC1B3"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8" w:history="1">
        <w:r w:rsidRPr="00F85774">
          <w:rPr>
            <w:rStyle w:val="Hypertextovodkaz"/>
            <w:noProof/>
          </w:rPr>
          <w:t>5.8</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Ministerstvo školství, mládeže a tělovýchovy</w:t>
        </w:r>
        <w:r>
          <w:rPr>
            <w:noProof/>
            <w:webHidden/>
          </w:rPr>
          <w:tab/>
        </w:r>
        <w:r>
          <w:rPr>
            <w:noProof/>
            <w:webHidden/>
          </w:rPr>
          <w:fldChar w:fldCharType="begin"/>
        </w:r>
        <w:r>
          <w:rPr>
            <w:noProof/>
            <w:webHidden/>
          </w:rPr>
          <w:instrText xml:space="preserve"> PAGEREF _Toc239067858 \h </w:instrText>
        </w:r>
        <w:r>
          <w:rPr>
            <w:noProof/>
            <w:webHidden/>
          </w:rPr>
        </w:r>
        <w:r>
          <w:rPr>
            <w:noProof/>
            <w:webHidden/>
          </w:rPr>
          <w:fldChar w:fldCharType="separate"/>
        </w:r>
        <w:r>
          <w:rPr>
            <w:noProof/>
            <w:webHidden/>
          </w:rPr>
          <w:t>61</w:t>
        </w:r>
        <w:r>
          <w:rPr>
            <w:noProof/>
            <w:webHidden/>
          </w:rPr>
          <w:fldChar w:fldCharType="end"/>
        </w:r>
      </w:hyperlink>
    </w:p>
    <w:p w14:paraId="4A52E70F" w14:textId="786C9CED"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59" w:history="1">
        <w:r w:rsidRPr="00F85774">
          <w:rPr>
            <w:rStyle w:val="Hypertextovodkaz"/>
            <w:noProof/>
          </w:rPr>
          <w:t>5.9</w:t>
        </w:r>
        <w:r>
          <w:rPr>
            <w:rFonts w:asciiTheme="minorHAnsi" w:eastAsiaTheme="minorEastAsia" w:hAnsiTheme="minorHAnsi" w:cstheme="minorBidi"/>
            <w:noProof/>
            <w:kern w:val="2"/>
            <w:sz w:val="24"/>
            <w:szCs w:val="24"/>
            <w14:ligatures w14:val="standardContextual"/>
          </w:rPr>
          <w:tab/>
        </w:r>
        <w:r w:rsidRPr="00F85774">
          <w:rPr>
            <w:rStyle w:val="Hypertextovodkaz"/>
            <w:noProof/>
          </w:rPr>
          <w:t>Státní dluh a komentář k rozpočtu kapitoly Státní dluh</w:t>
        </w:r>
        <w:r>
          <w:rPr>
            <w:noProof/>
            <w:webHidden/>
          </w:rPr>
          <w:tab/>
        </w:r>
        <w:r>
          <w:rPr>
            <w:noProof/>
            <w:webHidden/>
          </w:rPr>
          <w:fldChar w:fldCharType="begin"/>
        </w:r>
        <w:r>
          <w:rPr>
            <w:noProof/>
            <w:webHidden/>
          </w:rPr>
          <w:instrText xml:space="preserve"> PAGEREF _Toc239067859 \h </w:instrText>
        </w:r>
        <w:r>
          <w:rPr>
            <w:noProof/>
            <w:webHidden/>
          </w:rPr>
        </w:r>
        <w:r>
          <w:rPr>
            <w:noProof/>
            <w:webHidden/>
          </w:rPr>
          <w:fldChar w:fldCharType="separate"/>
        </w:r>
        <w:r>
          <w:rPr>
            <w:noProof/>
            <w:webHidden/>
          </w:rPr>
          <w:t>62</w:t>
        </w:r>
        <w:r>
          <w:rPr>
            <w:noProof/>
            <w:webHidden/>
          </w:rPr>
          <w:fldChar w:fldCharType="end"/>
        </w:r>
      </w:hyperlink>
    </w:p>
    <w:p w14:paraId="6977148C" w14:textId="4E4D1C88"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60" w:history="1">
        <w:r w:rsidRPr="00F85774">
          <w:rPr>
            <w:rStyle w:val="Hypertextovodkaz"/>
            <w:noProof/>
          </w:rPr>
          <w:t>5.10</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Operace státních finančních aktiv</w:t>
        </w:r>
        <w:r>
          <w:rPr>
            <w:noProof/>
            <w:webHidden/>
          </w:rPr>
          <w:tab/>
        </w:r>
        <w:r>
          <w:rPr>
            <w:noProof/>
            <w:webHidden/>
          </w:rPr>
          <w:fldChar w:fldCharType="begin"/>
        </w:r>
        <w:r>
          <w:rPr>
            <w:noProof/>
            <w:webHidden/>
          </w:rPr>
          <w:instrText xml:space="preserve"> PAGEREF _Toc239067860 \h </w:instrText>
        </w:r>
        <w:r>
          <w:rPr>
            <w:noProof/>
            <w:webHidden/>
          </w:rPr>
        </w:r>
        <w:r>
          <w:rPr>
            <w:noProof/>
            <w:webHidden/>
          </w:rPr>
          <w:fldChar w:fldCharType="separate"/>
        </w:r>
        <w:r>
          <w:rPr>
            <w:noProof/>
            <w:webHidden/>
          </w:rPr>
          <w:t>65</w:t>
        </w:r>
        <w:r>
          <w:rPr>
            <w:noProof/>
            <w:webHidden/>
          </w:rPr>
          <w:fldChar w:fldCharType="end"/>
        </w:r>
      </w:hyperlink>
    </w:p>
    <w:p w14:paraId="185C207E" w14:textId="31EAE482"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61" w:history="1">
        <w:r w:rsidRPr="00F85774">
          <w:rPr>
            <w:rStyle w:val="Hypertextovodkaz"/>
            <w:noProof/>
          </w:rPr>
          <w:t>5.11</w:t>
        </w:r>
        <w:r>
          <w:rPr>
            <w:rFonts w:asciiTheme="minorHAnsi" w:eastAsiaTheme="minorEastAsia" w:hAnsiTheme="minorHAnsi" w:cstheme="minorBidi"/>
            <w:noProof/>
            <w:kern w:val="2"/>
            <w:sz w:val="24"/>
            <w:szCs w:val="24"/>
            <w14:ligatures w14:val="standardContextual"/>
          </w:rPr>
          <w:tab/>
        </w:r>
        <w:r w:rsidRPr="00F85774">
          <w:rPr>
            <w:rStyle w:val="Hypertextovodkaz"/>
            <w:noProof/>
          </w:rPr>
          <w:t>Komentář k rozpočtu kapitoly Všeobecná pokladní správa</w:t>
        </w:r>
        <w:r>
          <w:rPr>
            <w:noProof/>
            <w:webHidden/>
          </w:rPr>
          <w:tab/>
        </w:r>
        <w:r>
          <w:rPr>
            <w:noProof/>
            <w:webHidden/>
          </w:rPr>
          <w:fldChar w:fldCharType="begin"/>
        </w:r>
        <w:r>
          <w:rPr>
            <w:noProof/>
            <w:webHidden/>
          </w:rPr>
          <w:instrText xml:space="preserve"> PAGEREF _Toc239067861 \h </w:instrText>
        </w:r>
        <w:r>
          <w:rPr>
            <w:noProof/>
            <w:webHidden/>
          </w:rPr>
        </w:r>
        <w:r>
          <w:rPr>
            <w:noProof/>
            <w:webHidden/>
          </w:rPr>
          <w:fldChar w:fldCharType="separate"/>
        </w:r>
        <w:r>
          <w:rPr>
            <w:noProof/>
            <w:webHidden/>
          </w:rPr>
          <w:t>65</w:t>
        </w:r>
        <w:r>
          <w:rPr>
            <w:noProof/>
            <w:webHidden/>
          </w:rPr>
          <w:fldChar w:fldCharType="end"/>
        </w:r>
      </w:hyperlink>
    </w:p>
    <w:p w14:paraId="21574F40" w14:textId="771F6605"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62" w:history="1">
        <w:r w:rsidRPr="00F85774">
          <w:rPr>
            <w:rStyle w:val="Hypertextovodkaz"/>
          </w:rPr>
          <w:t>6</w:t>
        </w:r>
        <w:r>
          <w:rPr>
            <w:rFonts w:asciiTheme="minorHAnsi" w:eastAsiaTheme="minorEastAsia" w:hAnsiTheme="minorHAnsi" w:cstheme="minorBidi"/>
            <w:b w:val="0"/>
            <w:kern w:val="2"/>
            <w:sz w:val="24"/>
            <w:szCs w:val="24"/>
            <w14:ligatures w14:val="standardContextual"/>
          </w:rPr>
          <w:tab/>
        </w:r>
        <w:r w:rsidRPr="00F85774">
          <w:rPr>
            <w:rStyle w:val="Hypertextovodkaz"/>
          </w:rPr>
          <w:t>Finanční vztahy k rozpočtu EU, EHP, Norsku a  Švýcarsku</w:t>
        </w:r>
        <w:r>
          <w:rPr>
            <w:webHidden/>
          </w:rPr>
          <w:tab/>
        </w:r>
        <w:r>
          <w:rPr>
            <w:webHidden/>
          </w:rPr>
          <w:fldChar w:fldCharType="begin"/>
        </w:r>
        <w:r>
          <w:rPr>
            <w:webHidden/>
          </w:rPr>
          <w:instrText xml:space="preserve"> PAGEREF _Toc239067862 \h </w:instrText>
        </w:r>
        <w:r>
          <w:rPr>
            <w:webHidden/>
          </w:rPr>
        </w:r>
        <w:r>
          <w:rPr>
            <w:webHidden/>
          </w:rPr>
          <w:fldChar w:fldCharType="separate"/>
        </w:r>
        <w:r>
          <w:rPr>
            <w:webHidden/>
          </w:rPr>
          <w:t>67</w:t>
        </w:r>
        <w:r>
          <w:rPr>
            <w:webHidden/>
          </w:rPr>
          <w:fldChar w:fldCharType="end"/>
        </w:r>
      </w:hyperlink>
    </w:p>
    <w:p w14:paraId="2D881D0C" w14:textId="4AB219DB"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63" w:history="1">
        <w:r w:rsidRPr="00F85774">
          <w:rPr>
            <w:rStyle w:val="Hypertextovodkaz"/>
            <w:noProof/>
          </w:rPr>
          <w:t>6.1</w:t>
        </w:r>
        <w:r>
          <w:rPr>
            <w:rFonts w:asciiTheme="minorHAnsi" w:eastAsiaTheme="minorEastAsia" w:hAnsiTheme="minorHAnsi" w:cstheme="minorBidi"/>
            <w:noProof/>
            <w:kern w:val="2"/>
            <w:sz w:val="24"/>
            <w:szCs w:val="24"/>
            <w14:ligatures w14:val="standardContextual"/>
          </w:rPr>
          <w:tab/>
        </w:r>
        <w:r w:rsidRPr="00F85774">
          <w:rPr>
            <w:rStyle w:val="Hypertextovodkaz"/>
            <w:noProof/>
          </w:rPr>
          <w:t>Čistá pozice ČR vůči rozpočtu EU a finanční vztahy vůči FM</w:t>
        </w:r>
        <w:r>
          <w:rPr>
            <w:noProof/>
            <w:webHidden/>
          </w:rPr>
          <w:tab/>
        </w:r>
        <w:r>
          <w:rPr>
            <w:noProof/>
            <w:webHidden/>
          </w:rPr>
          <w:fldChar w:fldCharType="begin"/>
        </w:r>
        <w:r>
          <w:rPr>
            <w:noProof/>
            <w:webHidden/>
          </w:rPr>
          <w:instrText xml:space="preserve"> PAGEREF _Toc239067863 \h </w:instrText>
        </w:r>
        <w:r>
          <w:rPr>
            <w:noProof/>
            <w:webHidden/>
          </w:rPr>
        </w:r>
        <w:r>
          <w:rPr>
            <w:noProof/>
            <w:webHidden/>
          </w:rPr>
          <w:fldChar w:fldCharType="separate"/>
        </w:r>
        <w:r>
          <w:rPr>
            <w:noProof/>
            <w:webHidden/>
          </w:rPr>
          <w:t>67</w:t>
        </w:r>
        <w:r>
          <w:rPr>
            <w:noProof/>
            <w:webHidden/>
          </w:rPr>
          <w:fldChar w:fldCharType="end"/>
        </w:r>
      </w:hyperlink>
    </w:p>
    <w:p w14:paraId="59CF242F" w14:textId="0A20C916" w:rsidR="00344480" w:rsidRDefault="00344480">
      <w:pPr>
        <w:pStyle w:val="Obsah2"/>
        <w:rPr>
          <w:rFonts w:asciiTheme="minorHAnsi" w:eastAsiaTheme="minorEastAsia" w:hAnsiTheme="minorHAnsi" w:cstheme="minorBidi"/>
          <w:noProof/>
          <w:kern w:val="2"/>
          <w:sz w:val="24"/>
          <w:szCs w:val="24"/>
          <w14:ligatures w14:val="standardContextual"/>
        </w:rPr>
      </w:pPr>
      <w:hyperlink w:anchor="_Toc239067864" w:history="1">
        <w:r w:rsidRPr="00F85774">
          <w:rPr>
            <w:rStyle w:val="Hypertextovodkaz"/>
            <w:noProof/>
          </w:rPr>
          <w:t>6.2</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státního rozpočtu v souvislosti s rozpočtem EU a finančními mechanismy</w:t>
        </w:r>
        <w:r>
          <w:rPr>
            <w:noProof/>
            <w:webHidden/>
          </w:rPr>
          <w:tab/>
        </w:r>
        <w:r>
          <w:rPr>
            <w:noProof/>
            <w:webHidden/>
          </w:rPr>
          <w:fldChar w:fldCharType="begin"/>
        </w:r>
        <w:r>
          <w:rPr>
            <w:noProof/>
            <w:webHidden/>
          </w:rPr>
          <w:instrText xml:space="preserve"> PAGEREF _Toc239067864 \h </w:instrText>
        </w:r>
        <w:r>
          <w:rPr>
            <w:noProof/>
            <w:webHidden/>
          </w:rPr>
        </w:r>
        <w:r>
          <w:rPr>
            <w:noProof/>
            <w:webHidden/>
          </w:rPr>
          <w:fldChar w:fldCharType="separate"/>
        </w:r>
        <w:r>
          <w:rPr>
            <w:noProof/>
            <w:webHidden/>
          </w:rPr>
          <w:t>68</w:t>
        </w:r>
        <w:r>
          <w:rPr>
            <w:noProof/>
            <w:webHidden/>
          </w:rPr>
          <w:fldChar w:fldCharType="end"/>
        </w:r>
      </w:hyperlink>
    </w:p>
    <w:p w14:paraId="7AABFC35" w14:textId="6E69E715"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65" w:history="1">
        <w:r w:rsidRPr="00F85774">
          <w:rPr>
            <w:rStyle w:val="Hypertextovodkaz"/>
            <w:noProof/>
            <w14:scene3d>
              <w14:camera w14:prst="orthographicFront"/>
              <w14:lightRig w14:rig="threePt" w14:dir="t">
                <w14:rot w14:lat="0" w14:lon="0" w14:rev="0"/>
              </w14:lightRig>
            </w14:scene3d>
          </w:rPr>
          <w:t>6.2.1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státního rozpočtu – odvody do Evropské unie a makrofinanční pomoc + pro Ukrajinu</w:t>
        </w:r>
        <w:r>
          <w:rPr>
            <w:noProof/>
            <w:webHidden/>
          </w:rPr>
          <w:tab/>
        </w:r>
        <w:r>
          <w:rPr>
            <w:noProof/>
            <w:webHidden/>
          </w:rPr>
          <w:fldChar w:fldCharType="begin"/>
        </w:r>
        <w:r>
          <w:rPr>
            <w:noProof/>
            <w:webHidden/>
          </w:rPr>
          <w:instrText xml:space="preserve"> PAGEREF _Toc239067865 \h </w:instrText>
        </w:r>
        <w:r>
          <w:rPr>
            <w:noProof/>
            <w:webHidden/>
          </w:rPr>
        </w:r>
        <w:r>
          <w:rPr>
            <w:noProof/>
            <w:webHidden/>
          </w:rPr>
          <w:fldChar w:fldCharType="separate"/>
        </w:r>
        <w:r>
          <w:rPr>
            <w:noProof/>
            <w:webHidden/>
          </w:rPr>
          <w:t>68</w:t>
        </w:r>
        <w:r>
          <w:rPr>
            <w:noProof/>
            <w:webHidden/>
          </w:rPr>
          <w:fldChar w:fldCharType="end"/>
        </w:r>
      </w:hyperlink>
    </w:p>
    <w:p w14:paraId="32F774FE" w14:textId="0E33F8D3" w:rsidR="00344480" w:rsidRDefault="00344480">
      <w:pPr>
        <w:pStyle w:val="Obsah3"/>
        <w:tabs>
          <w:tab w:val="left" w:pos="1440"/>
          <w:tab w:val="right" w:leader="dot" w:pos="9628"/>
        </w:tabs>
        <w:rPr>
          <w:rFonts w:asciiTheme="minorHAnsi" w:eastAsiaTheme="minorEastAsia" w:hAnsiTheme="minorHAnsi" w:cstheme="minorBidi"/>
          <w:noProof/>
          <w:kern w:val="2"/>
          <w:sz w:val="24"/>
          <w:szCs w:val="24"/>
          <w14:ligatures w14:val="standardContextual"/>
        </w:rPr>
      </w:pPr>
      <w:hyperlink w:anchor="_Toc239067866" w:history="1">
        <w:r w:rsidRPr="00F85774">
          <w:rPr>
            <w:rStyle w:val="Hypertextovodkaz"/>
            <w:noProof/>
            <w14:scene3d>
              <w14:camera w14:prst="orthographicFront"/>
              <w14:lightRig w14:rig="threePt" w14:dir="t">
                <w14:rot w14:lat="0" w14:lon="0" w14:rev="0"/>
              </w14:lightRig>
            </w14:scene3d>
          </w:rPr>
          <w:t>6.2.2</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Výdaje na programy podporované z rozpočtu EU a finančních mechanismů</w:t>
        </w:r>
        <w:r>
          <w:rPr>
            <w:noProof/>
            <w:webHidden/>
          </w:rPr>
          <w:tab/>
        </w:r>
        <w:r>
          <w:rPr>
            <w:noProof/>
            <w:webHidden/>
          </w:rPr>
          <w:fldChar w:fldCharType="begin"/>
        </w:r>
        <w:r>
          <w:rPr>
            <w:noProof/>
            <w:webHidden/>
          </w:rPr>
          <w:instrText xml:space="preserve"> PAGEREF _Toc239067866 \h </w:instrText>
        </w:r>
        <w:r>
          <w:rPr>
            <w:noProof/>
            <w:webHidden/>
          </w:rPr>
        </w:r>
        <w:r>
          <w:rPr>
            <w:noProof/>
            <w:webHidden/>
          </w:rPr>
          <w:fldChar w:fldCharType="separate"/>
        </w:r>
        <w:r>
          <w:rPr>
            <w:noProof/>
            <w:webHidden/>
          </w:rPr>
          <w:t>69</w:t>
        </w:r>
        <w:r>
          <w:rPr>
            <w:noProof/>
            <w:webHidden/>
          </w:rPr>
          <w:fldChar w:fldCharType="end"/>
        </w:r>
      </w:hyperlink>
    </w:p>
    <w:p w14:paraId="5A4FF1F0" w14:textId="19E4552F" w:rsidR="00344480" w:rsidRDefault="00344480">
      <w:pPr>
        <w:pStyle w:val="Obsah1"/>
        <w:rPr>
          <w:rFonts w:asciiTheme="minorHAnsi" w:eastAsiaTheme="minorEastAsia" w:hAnsiTheme="minorHAnsi" w:cstheme="minorBidi"/>
          <w:b w:val="0"/>
          <w:kern w:val="2"/>
          <w:sz w:val="24"/>
          <w:szCs w:val="24"/>
          <w14:ligatures w14:val="standardContextual"/>
        </w:rPr>
      </w:pPr>
      <w:hyperlink w:anchor="_Toc239067867" w:history="1">
        <w:r w:rsidRPr="00F85774">
          <w:rPr>
            <w:rStyle w:val="Hypertextovodkaz"/>
          </w:rPr>
          <w:t>7</w:t>
        </w:r>
        <w:r>
          <w:rPr>
            <w:rFonts w:asciiTheme="minorHAnsi" w:eastAsiaTheme="minorEastAsia" w:hAnsiTheme="minorHAnsi" w:cstheme="minorBidi"/>
            <w:b w:val="0"/>
            <w:kern w:val="2"/>
            <w:sz w:val="24"/>
            <w:szCs w:val="24"/>
            <w14:ligatures w14:val="standardContextual"/>
          </w:rPr>
          <w:tab/>
        </w:r>
        <w:r w:rsidRPr="00F85774">
          <w:rPr>
            <w:rStyle w:val="Hypertextovodkaz"/>
          </w:rPr>
          <w:t>Přílohy</w:t>
        </w:r>
        <w:r>
          <w:rPr>
            <w:webHidden/>
          </w:rPr>
          <w:tab/>
        </w:r>
        <w:r>
          <w:rPr>
            <w:webHidden/>
          </w:rPr>
          <w:fldChar w:fldCharType="begin"/>
        </w:r>
        <w:r>
          <w:rPr>
            <w:webHidden/>
          </w:rPr>
          <w:instrText xml:space="preserve"> PAGEREF _Toc239067867 \h </w:instrText>
        </w:r>
        <w:r>
          <w:rPr>
            <w:webHidden/>
          </w:rPr>
        </w:r>
        <w:r>
          <w:rPr>
            <w:webHidden/>
          </w:rPr>
          <w:fldChar w:fldCharType="separate"/>
        </w:r>
        <w:r>
          <w:rPr>
            <w:webHidden/>
          </w:rPr>
          <w:t>71</w:t>
        </w:r>
        <w:r>
          <w:rPr>
            <w:webHidden/>
          </w:rPr>
          <w:fldChar w:fldCharType="end"/>
        </w:r>
      </w:hyperlink>
    </w:p>
    <w:p w14:paraId="480170D5" w14:textId="30DD3DA8" w:rsidR="00344480" w:rsidRDefault="00344480">
      <w:pPr>
        <w:pStyle w:val="Obsah2"/>
        <w:tabs>
          <w:tab w:val="left" w:pos="1680"/>
        </w:tabs>
        <w:rPr>
          <w:rFonts w:asciiTheme="minorHAnsi" w:eastAsiaTheme="minorEastAsia" w:hAnsiTheme="minorHAnsi" w:cstheme="minorBidi"/>
          <w:noProof/>
          <w:kern w:val="2"/>
          <w:sz w:val="24"/>
          <w:szCs w:val="24"/>
          <w14:ligatures w14:val="standardContextual"/>
        </w:rPr>
      </w:pPr>
      <w:hyperlink w:anchor="_Toc239067868" w:history="1">
        <w:r w:rsidRPr="00F85774">
          <w:rPr>
            <w:rStyle w:val="Hypertextovodkaz"/>
            <w:noProof/>
          </w:rPr>
          <w:t>Příloha č. 1:</w:t>
        </w:r>
        <w:r>
          <w:rPr>
            <w:rFonts w:asciiTheme="minorHAnsi" w:eastAsiaTheme="minorEastAsia" w:hAnsiTheme="minorHAnsi" w:cstheme="minorBidi"/>
            <w:noProof/>
            <w:kern w:val="2"/>
            <w:sz w:val="24"/>
            <w:szCs w:val="24"/>
            <w14:ligatures w14:val="standardContextual"/>
          </w:rPr>
          <w:tab/>
        </w:r>
        <w:r w:rsidRPr="00F85774">
          <w:rPr>
            <w:rStyle w:val="Hypertextovodkaz"/>
            <w:noProof/>
          </w:rPr>
          <w:t>Vývoj mandatorních výdajů</w:t>
        </w:r>
        <w:r>
          <w:rPr>
            <w:noProof/>
            <w:webHidden/>
          </w:rPr>
          <w:tab/>
        </w:r>
        <w:r>
          <w:rPr>
            <w:noProof/>
            <w:webHidden/>
          </w:rPr>
          <w:fldChar w:fldCharType="begin"/>
        </w:r>
        <w:r>
          <w:rPr>
            <w:noProof/>
            <w:webHidden/>
          </w:rPr>
          <w:instrText xml:space="preserve"> PAGEREF _Toc239067868 \h </w:instrText>
        </w:r>
        <w:r>
          <w:rPr>
            <w:noProof/>
            <w:webHidden/>
          </w:rPr>
        </w:r>
        <w:r>
          <w:rPr>
            <w:noProof/>
            <w:webHidden/>
          </w:rPr>
          <w:fldChar w:fldCharType="separate"/>
        </w:r>
        <w:r>
          <w:rPr>
            <w:noProof/>
            <w:webHidden/>
          </w:rPr>
          <w:t>71</w:t>
        </w:r>
        <w:r>
          <w:rPr>
            <w:noProof/>
            <w:webHidden/>
          </w:rPr>
          <w:fldChar w:fldCharType="end"/>
        </w:r>
      </w:hyperlink>
    </w:p>
    <w:p w14:paraId="7A5283C0" w14:textId="505EB530" w:rsidR="00344480" w:rsidRDefault="00344480">
      <w:pPr>
        <w:pStyle w:val="Obsah2"/>
        <w:tabs>
          <w:tab w:val="left" w:pos="1680"/>
        </w:tabs>
        <w:rPr>
          <w:rFonts w:asciiTheme="minorHAnsi" w:eastAsiaTheme="minorEastAsia" w:hAnsiTheme="minorHAnsi" w:cstheme="minorBidi"/>
          <w:noProof/>
          <w:kern w:val="2"/>
          <w:sz w:val="24"/>
          <w:szCs w:val="24"/>
          <w14:ligatures w14:val="standardContextual"/>
        </w:rPr>
      </w:pPr>
      <w:hyperlink w:anchor="_Toc239067869" w:history="1">
        <w:r w:rsidRPr="00F85774">
          <w:rPr>
            <w:rStyle w:val="Hypertextovodkaz"/>
            <w:noProof/>
          </w:rPr>
          <w:t>Příloha č. 2:</w:t>
        </w:r>
        <w:r>
          <w:rPr>
            <w:rFonts w:asciiTheme="minorHAnsi" w:eastAsiaTheme="minorEastAsia" w:hAnsiTheme="minorHAnsi" w:cstheme="minorBidi"/>
            <w:noProof/>
            <w:kern w:val="2"/>
            <w:sz w:val="24"/>
            <w:szCs w:val="24"/>
            <w14:ligatures w14:val="standardContextual"/>
          </w:rPr>
          <w:tab/>
        </w:r>
        <w:r w:rsidRPr="00F85774">
          <w:rPr>
            <w:rStyle w:val="Hypertextovodkaz"/>
            <w:noProof/>
          </w:rPr>
          <w:t>Kvantifikace daňových úlev v České republice za rok 2024</w:t>
        </w:r>
        <w:r>
          <w:rPr>
            <w:noProof/>
            <w:webHidden/>
          </w:rPr>
          <w:tab/>
        </w:r>
        <w:r>
          <w:rPr>
            <w:noProof/>
            <w:webHidden/>
          </w:rPr>
          <w:fldChar w:fldCharType="begin"/>
        </w:r>
        <w:r>
          <w:rPr>
            <w:noProof/>
            <w:webHidden/>
          </w:rPr>
          <w:instrText xml:space="preserve"> PAGEREF _Toc239067869 \h </w:instrText>
        </w:r>
        <w:r>
          <w:rPr>
            <w:noProof/>
            <w:webHidden/>
          </w:rPr>
        </w:r>
        <w:r>
          <w:rPr>
            <w:noProof/>
            <w:webHidden/>
          </w:rPr>
          <w:fldChar w:fldCharType="separate"/>
        </w:r>
        <w:r>
          <w:rPr>
            <w:noProof/>
            <w:webHidden/>
          </w:rPr>
          <w:t>71</w:t>
        </w:r>
        <w:r>
          <w:rPr>
            <w:noProof/>
            <w:webHidden/>
          </w:rPr>
          <w:fldChar w:fldCharType="end"/>
        </w:r>
      </w:hyperlink>
    </w:p>
    <w:p w14:paraId="496D483F" w14:textId="4A955DED" w:rsidR="00601622" w:rsidRPr="00972808" w:rsidRDefault="00C65AA3" w:rsidP="00601622">
      <w:r w:rsidRPr="00972808">
        <w:fldChar w:fldCharType="end"/>
      </w:r>
    </w:p>
    <w:p w14:paraId="007982EA" w14:textId="77777777" w:rsidR="00601622" w:rsidRPr="00972808" w:rsidRDefault="00601622" w:rsidP="00601622"/>
    <w:p w14:paraId="509FFF4F" w14:textId="77777777" w:rsidR="00D15AE3" w:rsidRPr="00972808" w:rsidRDefault="00D15AE3" w:rsidP="00601622">
      <w:pPr>
        <w:pStyle w:val="SRNadpismal"/>
      </w:pPr>
      <w:r w:rsidRPr="00972808">
        <w:lastRenderedPageBreak/>
        <w:t>Seznam tabulek</w:t>
      </w:r>
    </w:p>
    <w:p w14:paraId="22662EBD" w14:textId="5874182D" w:rsidR="00344480" w:rsidRDefault="009219C0">
      <w:pPr>
        <w:pStyle w:val="Seznamobrzk"/>
        <w:rPr>
          <w:rFonts w:asciiTheme="minorHAnsi" w:eastAsiaTheme="minorEastAsia" w:hAnsiTheme="minorHAnsi" w:cstheme="minorBidi"/>
          <w:noProof/>
          <w:kern w:val="2"/>
          <w:sz w:val="24"/>
          <w:szCs w:val="24"/>
          <w14:ligatures w14:val="standardContextual"/>
        </w:rPr>
      </w:pPr>
      <w:r w:rsidRPr="00972808">
        <w:fldChar w:fldCharType="begin"/>
      </w:r>
      <w:r w:rsidRPr="00972808">
        <w:instrText xml:space="preserve"> TOC \h \z \c "Tabulka" </w:instrText>
      </w:r>
      <w:r w:rsidRPr="00972808">
        <w:fldChar w:fldCharType="separate"/>
      </w:r>
      <w:hyperlink w:anchor="_Toc239067870" w:history="1">
        <w:r w:rsidR="00344480" w:rsidRPr="00472148">
          <w:rPr>
            <w:rStyle w:val="Hypertextovodkaz"/>
            <w:noProof/>
          </w:rPr>
          <w:t>Tabulka 1 Predikce základních makroekonomických indikátorů</w:t>
        </w:r>
        <w:r w:rsidR="00344480">
          <w:rPr>
            <w:noProof/>
            <w:webHidden/>
          </w:rPr>
          <w:tab/>
        </w:r>
        <w:r w:rsidR="00344480">
          <w:rPr>
            <w:noProof/>
            <w:webHidden/>
          </w:rPr>
          <w:fldChar w:fldCharType="begin"/>
        </w:r>
        <w:r w:rsidR="00344480">
          <w:rPr>
            <w:noProof/>
            <w:webHidden/>
          </w:rPr>
          <w:instrText xml:space="preserve"> PAGEREF _Toc239067870 \h </w:instrText>
        </w:r>
        <w:r w:rsidR="00344480">
          <w:rPr>
            <w:noProof/>
            <w:webHidden/>
          </w:rPr>
        </w:r>
        <w:r w:rsidR="00344480">
          <w:rPr>
            <w:noProof/>
            <w:webHidden/>
          </w:rPr>
          <w:fldChar w:fldCharType="separate"/>
        </w:r>
        <w:r w:rsidR="00344480">
          <w:rPr>
            <w:noProof/>
            <w:webHidden/>
          </w:rPr>
          <w:t>6</w:t>
        </w:r>
        <w:r w:rsidR="00344480">
          <w:rPr>
            <w:noProof/>
            <w:webHidden/>
          </w:rPr>
          <w:fldChar w:fldCharType="end"/>
        </w:r>
      </w:hyperlink>
    </w:p>
    <w:p w14:paraId="451BD144" w14:textId="6AE05043"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1" w:history="1">
        <w:r w:rsidRPr="00472148">
          <w:rPr>
            <w:rStyle w:val="Hypertextovodkaz"/>
            <w:noProof/>
          </w:rPr>
          <w:t xml:space="preserve">Tabulka 2 Základní ukazatele státního rozpočtu </w:t>
        </w:r>
        <w:r w:rsidRPr="00472148">
          <w:rPr>
            <w:rStyle w:val="Hypertextovodkaz"/>
            <w:i/>
            <w:iCs/>
            <w:noProof/>
          </w:rPr>
          <w:t>(v mld. Kč)</w:t>
        </w:r>
        <w:r>
          <w:rPr>
            <w:noProof/>
            <w:webHidden/>
          </w:rPr>
          <w:tab/>
        </w:r>
        <w:r>
          <w:rPr>
            <w:noProof/>
            <w:webHidden/>
          </w:rPr>
          <w:fldChar w:fldCharType="begin"/>
        </w:r>
        <w:r>
          <w:rPr>
            <w:noProof/>
            <w:webHidden/>
          </w:rPr>
          <w:instrText xml:space="preserve"> PAGEREF _Toc239067871 \h </w:instrText>
        </w:r>
        <w:r>
          <w:rPr>
            <w:noProof/>
            <w:webHidden/>
          </w:rPr>
        </w:r>
        <w:r>
          <w:rPr>
            <w:noProof/>
            <w:webHidden/>
          </w:rPr>
          <w:fldChar w:fldCharType="separate"/>
        </w:r>
        <w:r>
          <w:rPr>
            <w:noProof/>
            <w:webHidden/>
          </w:rPr>
          <w:t>7</w:t>
        </w:r>
        <w:r>
          <w:rPr>
            <w:noProof/>
            <w:webHidden/>
          </w:rPr>
          <w:fldChar w:fldCharType="end"/>
        </w:r>
      </w:hyperlink>
    </w:p>
    <w:p w14:paraId="5737F7EA" w14:textId="11033114"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2" w:history="1">
        <w:r w:rsidRPr="00472148">
          <w:rPr>
            <w:rStyle w:val="Hypertextovodkaz"/>
            <w:noProof/>
          </w:rPr>
          <w:t>Tabulka 3 Základní bilance státního rozpočtu </w:t>
        </w:r>
        <w:r w:rsidRPr="00472148">
          <w:rPr>
            <w:rStyle w:val="Hypertextovodkaz"/>
            <w:noProof/>
          </w:rPr>
          <w:noBreakHyphen/>
          <w:t xml:space="preserve"> druhové třídění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_Toc239067872 \h </w:instrText>
        </w:r>
        <w:r>
          <w:rPr>
            <w:noProof/>
            <w:webHidden/>
          </w:rPr>
        </w:r>
        <w:r>
          <w:rPr>
            <w:noProof/>
            <w:webHidden/>
          </w:rPr>
          <w:fldChar w:fldCharType="separate"/>
        </w:r>
        <w:r>
          <w:rPr>
            <w:noProof/>
            <w:webHidden/>
          </w:rPr>
          <w:t>9</w:t>
        </w:r>
        <w:r>
          <w:rPr>
            <w:noProof/>
            <w:webHidden/>
          </w:rPr>
          <w:fldChar w:fldCharType="end"/>
        </w:r>
      </w:hyperlink>
    </w:p>
    <w:p w14:paraId="192EC086" w14:textId="08C99B47"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3" w:history="1">
        <w:r w:rsidRPr="00472148">
          <w:rPr>
            <w:rStyle w:val="Hypertextovodkaz"/>
            <w:noProof/>
          </w:rPr>
          <w:t xml:space="preserve">Tabulka 4 Odvětvové členění výdajů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_Toc239067873 \h </w:instrText>
        </w:r>
        <w:r>
          <w:rPr>
            <w:noProof/>
            <w:webHidden/>
          </w:rPr>
        </w:r>
        <w:r>
          <w:rPr>
            <w:noProof/>
            <w:webHidden/>
          </w:rPr>
          <w:fldChar w:fldCharType="separate"/>
        </w:r>
        <w:r>
          <w:rPr>
            <w:noProof/>
            <w:webHidden/>
          </w:rPr>
          <w:t>10</w:t>
        </w:r>
        <w:r>
          <w:rPr>
            <w:noProof/>
            <w:webHidden/>
          </w:rPr>
          <w:fldChar w:fldCharType="end"/>
        </w:r>
      </w:hyperlink>
    </w:p>
    <w:p w14:paraId="319C9977" w14:textId="4DBF4505"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4" w:history="1">
        <w:r w:rsidRPr="00472148">
          <w:rPr>
            <w:rStyle w:val="Hypertextovodkaz"/>
            <w:noProof/>
          </w:rPr>
          <w:t xml:space="preserve">Tabulka 5 Příjmy státního rozpočtu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_Toc239067874 \h </w:instrText>
        </w:r>
        <w:r>
          <w:rPr>
            <w:noProof/>
            <w:webHidden/>
          </w:rPr>
        </w:r>
        <w:r>
          <w:rPr>
            <w:noProof/>
            <w:webHidden/>
          </w:rPr>
          <w:fldChar w:fldCharType="separate"/>
        </w:r>
        <w:r>
          <w:rPr>
            <w:noProof/>
            <w:webHidden/>
          </w:rPr>
          <w:t>11</w:t>
        </w:r>
        <w:r>
          <w:rPr>
            <w:noProof/>
            <w:webHidden/>
          </w:rPr>
          <w:fldChar w:fldCharType="end"/>
        </w:r>
      </w:hyperlink>
    </w:p>
    <w:p w14:paraId="5FB83A54" w14:textId="317A4EBA"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5" w:history="1">
        <w:r w:rsidRPr="00472148">
          <w:rPr>
            <w:rStyle w:val="Hypertextovodkaz"/>
            <w:noProof/>
          </w:rPr>
          <w:t xml:space="preserve">Tabulka 6 Vývoj daňové kvóty </w:t>
        </w:r>
        <w:r w:rsidRPr="00472148">
          <w:rPr>
            <w:rStyle w:val="Hypertextovodkaz"/>
            <w:i/>
            <w:iCs/>
            <w:noProof/>
          </w:rPr>
          <w:t>(v % HDP)</w:t>
        </w:r>
        <w:r>
          <w:rPr>
            <w:noProof/>
            <w:webHidden/>
          </w:rPr>
          <w:tab/>
        </w:r>
        <w:r>
          <w:rPr>
            <w:noProof/>
            <w:webHidden/>
          </w:rPr>
          <w:fldChar w:fldCharType="begin"/>
        </w:r>
        <w:r>
          <w:rPr>
            <w:noProof/>
            <w:webHidden/>
          </w:rPr>
          <w:instrText xml:space="preserve"> PAGEREF _Toc239067875 \h </w:instrText>
        </w:r>
        <w:r>
          <w:rPr>
            <w:noProof/>
            <w:webHidden/>
          </w:rPr>
        </w:r>
        <w:r>
          <w:rPr>
            <w:noProof/>
            <w:webHidden/>
          </w:rPr>
          <w:fldChar w:fldCharType="separate"/>
        </w:r>
        <w:r>
          <w:rPr>
            <w:noProof/>
            <w:webHidden/>
          </w:rPr>
          <w:t>12</w:t>
        </w:r>
        <w:r>
          <w:rPr>
            <w:noProof/>
            <w:webHidden/>
          </w:rPr>
          <w:fldChar w:fldCharType="end"/>
        </w:r>
      </w:hyperlink>
    </w:p>
    <w:p w14:paraId="39A28906" w14:textId="5B4E5D1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6" w:history="1">
        <w:r w:rsidRPr="00472148">
          <w:rPr>
            <w:rStyle w:val="Hypertextovodkaz"/>
            <w:noProof/>
          </w:rPr>
          <w:t xml:space="preserve">Tabulka 7 Daňové příjmy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_Toc239067876 \h </w:instrText>
        </w:r>
        <w:r>
          <w:rPr>
            <w:noProof/>
            <w:webHidden/>
          </w:rPr>
        </w:r>
        <w:r>
          <w:rPr>
            <w:noProof/>
            <w:webHidden/>
          </w:rPr>
          <w:fldChar w:fldCharType="separate"/>
        </w:r>
        <w:r>
          <w:rPr>
            <w:noProof/>
            <w:webHidden/>
          </w:rPr>
          <w:t>13</w:t>
        </w:r>
        <w:r>
          <w:rPr>
            <w:noProof/>
            <w:webHidden/>
          </w:rPr>
          <w:fldChar w:fldCharType="end"/>
        </w:r>
      </w:hyperlink>
    </w:p>
    <w:p w14:paraId="2B6F8339" w14:textId="263EA68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7" w:history="1">
        <w:r w:rsidRPr="00472148">
          <w:rPr>
            <w:rStyle w:val="Hypertextovodkaz"/>
            <w:noProof/>
          </w:rPr>
          <w:t xml:space="preserve">Tabulka 8 Vývoj příjmů z pojistného na sociální zabezpečení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_Toc239067877 \h </w:instrText>
        </w:r>
        <w:r>
          <w:rPr>
            <w:noProof/>
            <w:webHidden/>
          </w:rPr>
        </w:r>
        <w:r>
          <w:rPr>
            <w:noProof/>
            <w:webHidden/>
          </w:rPr>
          <w:fldChar w:fldCharType="separate"/>
        </w:r>
        <w:r>
          <w:rPr>
            <w:noProof/>
            <w:webHidden/>
          </w:rPr>
          <w:t>16</w:t>
        </w:r>
        <w:r>
          <w:rPr>
            <w:noProof/>
            <w:webHidden/>
          </w:rPr>
          <w:fldChar w:fldCharType="end"/>
        </w:r>
      </w:hyperlink>
    </w:p>
    <w:p w14:paraId="7009E597" w14:textId="067DE98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8" w:history="1">
        <w:r w:rsidRPr="00472148">
          <w:rPr>
            <w:rStyle w:val="Hypertextovodkaz"/>
            <w:noProof/>
          </w:rPr>
          <w:t xml:space="preserve">Tabulka 9 Vývoj ostatních příjmů </w:t>
        </w:r>
        <w:r w:rsidRPr="00472148">
          <w:rPr>
            <w:rStyle w:val="Hypertextovodkaz"/>
            <w:i/>
            <w:noProof/>
          </w:rPr>
          <w:t>(v mil. Kč)</w:t>
        </w:r>
        <w:r>
          <w:rPr>
            <w:noProof/>
            <w:webHidden/>
          </w:rPr>
          <w:tab/>
        </w:r>
        <w:r>
          <w:rPr>
            <w:noProof/>
            <w:webHidden/>
          </w:rPr>
          <w:fldChar w:fldCharType="begin"/>
        </w:r>
        <w:r>
          <w:rPr>
            <w:noProof/>
            <w:webHidden/>
          </w:rPr>
          <w:instrText xml:space="preserve"> PAGEREF _Toc239067878 \h </w:instrText>
        </w:r>
        <w:r>
          <w:rPr>
            <w:noProof/>
            <w:webHidden/>
          </w:rPr>
        </w:r>
        <w:r>
          <w:rPr>
            <w:noProof/>
            <w:webHidden/>
          </w:rPr>
          <w:fldChar w:fldCharType="separate"/>
        </w:r>
        <w:r>
          <w:rPr>
            <w:noProof/>
            <w:webHidden/>
          </w:rPr>
          <w:t>17</w:t>
        </w:r>
        <w:r>
          <w:rPr>
            <w:noProof/>
            <w:webHidden/>
          </w:rPr>
          <w:fldChar w:fldCharType="end"/>
        </w:r>
      </w:hyperlink>
    </w:p>
    <w:p w14:paraId="46B9C16C" w14:textId="19806ECB"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79" w:history="1">
        <w:r w:rsidRPr="00472148">
          <w:rPr>
            <w:rStyle w:val="Hypertextovodkaz"/>
            <w:noProof/>
          </w:rPr>
          <w:t xml:space="preserve">Tabulka 10 Výdaje státního rozpočtu </w:t>
        </w:r>
        <w:r w:rsidRPr="00472148">
          <w:rPr>
            <w:rStyle w:val="Hypertextovodkaz"/>
            <w:i/>
            <w:noProof/>
          </w:rPr>
          <w:t>(v mld. Kč)</w:t>
        </w:r>
        <w:r>
          <w:rPr>
            <w:noProof/>
            <w:webHidden/>
          </w:rPr>
          <w:tab/>
        </w:r>
        <w:r>
          <w:rPr>
            <w:noProof/>
            <w:webHidden/>
          </w:rPr>
          <w:fldChar w:fldCharType="begin"/>
        </w:r>
        <w:r>
          <w:rPr>
            <w:noProof/>
            <w:webHidden/>
          </w:rPr>
          <w:instrText xml:space="preserve"> PAGEREF _Toc239067879 \h </w:instrText>
        </w:r>
        <w:r>
          <w:rPr>
            <w:noProof/>
            <w:webHidden/>
          </w:rPr>
        </w:r>
        <w:r>
          <w:rPr>
            <w:noProof/>
            <w:webHidden/>
          </w:rPr>
          <w:fldChar w:fldCharType="separate"/>
        </w:r>
        <w:r>
          <w:rPr>
            <w:noProof/>
            <w:webHidden/>
          </w:rPr>
          <w:t>19</w:t>
        </w:r>
        <w:r>
          <w:rPr>
            <w:noProof/>
            <w:webHidden/>
          </w:rPr>
          <w:fldChar w:fldCharType="end"/>
        </w:r>
      </w:hyperlink>
    </w:p>
    <w:p w14:paraId="5F3E37E8" w14:textId="49745CBB"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0" w:history="1">
        <w:r w:rsidRPr="00472148">
          <w:rPr>
            <w:rStyle w:val="Hypertextovodkaz"/>
            <w:noProof/>
          </w:rPr>
          <w:t>Tabulka 11 Přehled mandatorních výdajů a jejich podílů – bez prostředků EU/FM a úč. oper. PRV</w:t>
        </w:r>
        <w:r>
          <w:rPr>
            <w:noProof/>
            <w:webHidden/>
          </w:rPr>
          <w:tab/>
        </w:r>
        <w:r>
          <w:rPr>
            <w:noProof/>
            <w:webHidden/>
          </w:rPr>
          <w:fldChar w:fldCharType="begin"/>
        </w:r>
        <w:r>
          <w:rPr>
            <w:noProof/>
            <w:webHidden/>
          </w:rPr>
          <w:instrText xml:space="preserve"> PAGEREF _Toc239067880 \h </w:instrText>
        </w:r>
        <w:r>
          <w:rPr>
            <w:noProof/>
            <w:webHidden/>
          </w:rPr>
        </w:r>
        <w:r>
          <w:rPr>
            <w:noProof/>
            <w:webHidden/>
          </w:rPr>
          <w:fldChar w:fldCharType="separate"/>
        </w:r>
        <w:r>
          <w:rPr>
            <w:noProof/>
            <w:webHidden/>
          </w:rPr>
          <w:t>26</w:t>
        </w:r>
        <w:r>
          <w:rPr>
            <w:noProof/>
            <w:webHidden/>
          </w:rPr>
          <w:fldChar w:fldCharType="end"/>
        </w:r>
      </w:hyperlink>
    </w:p>
    <w:p w14:paraId="70F399CB" w14:textId="45009E9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1" w:history="1">
        <w:r w:rsidRPr="00472148">
          <w:rPr>
            <w:rStyle w:val="Hypertextovodkaz"/>
            <w:noProof/>
          </w:rPr>
          <w:t xml:space="preserve">Tabulka 12 Struktura sociálních výdajů podle jednotlivých výdajových titulů </w:t>
        </w:r>
        <w:r w:rsidRPr="00472148">
          <w:rPr>
            <w:rStyle w:val="Hypertextovodkaz"/>
            <w:i/>
            <w:noProof/>
          </w:rPr>
          <w:t>(v mil. Kč)</w:t>
        </w:r>
        <w:r>
          <w:rPr>
            <w:noProof/>
            <w:webHidden/>
          </w:rPr>
          <w:tab/>
        </w:r>
        <w:r>
          <w:rPr>
            <w:noProof/>
            <w:webHidden/>
          </w:rPr>
          <w:fldChar w:fldCharType="begin"/>
        </w:r>
        <w:r>
          <w:rPr>
            <w:noProof/>
            <w:webHidden/>
          </w:rPr>
          <w:instrText xml:space="preserve"> PAGEREF _Toc239067881 \h </w:instrText>
        </w:r>
        <w:r>
          <w:rPr>
            <w:noProof/>
            <w:webHidden/>
          </w:rPr>
        </w:r>
        <w:r>
          <w:rPr>
            <w:noProof/>
            <w:webHidden/>
          </w:rPr>
          <w:fldChar w:fldCharType="separate"/>
        </w:r>
        <w:r>
          <w:rPr>
            <w:noProof/>
            <w:webHidden/>
          </w:rPr>
          <w:t>30</w:t>
        </w:r>
        <w:r>
          <w:rPr>
            <w:noProof/>
            <w:webHidden/>
          </w:rPr>
          <w:fldChar w:fldCharType="end"/>
        </w:r>
      </w:hyperlink>
    </w:p>
    <w:p w14:paraId="4C5FEAC5" w14:textId="4B2A1582"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2" w:history="1">
        <w:r w:rsidRPr="00472148">
          <w:rPr>
            <w:rStyle w:val="Hypertextovodkaz"/>
            <w:noProof/>
          </w:rPr>
          <w:t>Tabulka 13 Vývoj objemu prostředků na platy, ostatní platby za provedenou práci, příslušenství, počtu míst a průměrných platů v OSS a PO (nepedagogové v regionálním školství ÚSC nejsou v letech 2022-2025 zahrnuti)</w:t>
        </w:r>
        <w:r>
          <w:rPr>
            <w:noProof/>
            <w:webHidden/>
          </w:rPr>
          <w:tab/>
        </w:r>
        <w:r>
          <w:rPr>
            <w:noProof/>
            <w:webHidden/>
          </w:rPr>
          <w:fldChar w:fldCharType="begin"/>
        </w:r>
        <w:r>
          <w:rPr>
            <w:noProof/>
            <w:webHidden/>
          </w:rPr>
          <w:instrText xml:space="preserve"> PAGEREF _Toc239067882 \h </w:instrText>
        </w:r>
        <w:r>
          <w:rPr>
            <w:noProof/>
            <w:webHidden/>
          </w:rPr>
        </w:r>
        <w:r>
          <w:rPr>
            <w:noProof/>
            <w:webHidden/>
          </w:rPr>
          <w:fldChar w:fldCharType="separate"/>
        </w:r>
        <w:r>
          <w:rPr>
            <w:noProof/>
            <w:webHidden/>
          </w:rPr>
          <w:t>31</w:t>
        </w:r>
        <w:r>
          <w:rPr>
            <w:noProof/>
            <w:webHidden/>
          </w:rPr>
          <w:fldChar w:fldCharType="end"/>
        </w:r>
      </w:hyperlink>
    </w:p>
    <w:p w14:paraId="16BE624F" w14:textId="04E6259C"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3" w:history="1">
        <w:r w:rsidRPr="00472148">
          <w:rPr>
            <w:rStyle w:val="Hypertextovodkaz"/>
            <w:noProof/>
          </w:rPr>
          <w:t>Tabulka 14 Prostředky na platy a ostatní platby za provedenou práci v OSS a PO</w:t>
        </w:r>
        <w:r>
          <w:rPr>
            <w:noProof/>
            <w:webHidden/>
          </w:rPr>
          <w:tab/>
        </w:r>
        <w:r>
          <w:rPr>
            <w:noProof/>
            <w:webHidden/>
          </w:rPr>
          <w:fldChar w:fldCharType="begin"/>
        </w:r>
        <w:r>
          <w:rPr>
            <w:noProof/>
            <w:webHidden/>
          </w:rPr>
          <w:instrText xml:space="preserve"> PAGEREF _Toc239067883 \h </w:instrText>
        </w:r>
        <w:r>
          <w:rPr>
            <w:noProof/>
            <w:webHidden/>
          </w:rPr>
        </w:r>
        <w:r>
          <w:rPr>
            <w:noProof/>
            <w:webHidden/>
          </w:rPr>
          <w:fldChar w:fldCharType="separate"/>
        </w:r>
        <w:r>
          <w:rPr>
            <w:noProof/>
            <w:webHidden/>
          </w:rPr>
          <w:t>32</w:t>
        </w:r>
        <w:r>
          <w:rPr>
            <w:noProof/>
            <w:webHidden/>
          </w:rPr>
          <w:fldChar w:fldCharType="end"/>
        </w:r>
      </w:hyperlink>
    </w:p>
    <w:p w14:paraId="20CE22E7" w14:textId="2C5B34CF"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4" w:history="1">
        <w:r w:rsidRPr="00472148">
          <w:rPr>
            <w:rStyle w:val="Hypertextovodkaz"/>
            <w:noProof/>
          </w:rPr>
          <w:t>Tabulka 15 Počty míst zaměstnanců, příslušníků, vojáků, státních zástupců a odvozených v OSS a PO</w:t>
        </w:r>
        <w:r>
          <w:rPr>
            <w:noProof/>
            <w:webHidden/>
          </w:rPr>
          <w:tab/>
        </w:r>
        <w:r>
          <w:rPr>
            <w:noProof/>
            <w:webHidden/>
          </w:rPr>
          <w:fldChar w:fldCharType="begin"/>
        </w:r>
        <w:r>
          <w:rPr>
            <w:noProof/>
            <w:webHidden/>
          </w:rPr>
          <w:instrText xml:space="preserve"> PAGEREF _Toc239067884 \h </w:instrText>
        </w:r>
        <w:r>
          <w:rPr>
            <w:noProof/>
            <w:webHidden/>
          </w:rPr>
        </w:r>
        <w:r>
          <w:rPr>
            <w:noProof/>
            <w:webHidden/>
          </w:rPr>
          <w:fldChar w:fldCharType="separate"/>
        </w:r>
        <w:r>
          <w:rPr>
            <w:noProof/>
            <w:webHidden/>
          </w:rPr>
          <w:t>32</w:t>
        </w:r>
        <w:r>
          <w:rPr>
            <w:noProof/>
            <w:webHidden/>
          </w:rPr>
          <w:fldChar w:fldCharType="end"/>
        </w:r>
      </w:hyperlink>
    </w:p>
    <w:p w14:paraId="1F1DC638" w14:textId="713232A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5" w:history="1">
        <w:r w:rsidRPr="00472148">
          <w:rPr>
            <w:rStyle w:val="Hypertextovodkaz"/>
            <w:noProof/>
          </w:rPr>
          <w:t>Tabulka 16 Platy a ostatní platby za provedenou práci a počty míst vč. EU a FM</w:t>
        </w:r>
        <w:r>
          <w:rPr>
            <w:noProof/>
            <w:webHidden/>
          </w:rPr>
          <w:tab/>
        </w:r>
        <w:r>
          <w:rPr>
            <w:noProof/>
            <w:webHidden/>
          </w:rPr>
          <w:fldChar w:fldCharType="begin"/>
        </w:r>
        <w:r>
          <w:rPr>
            <w:noProof/>
            <w:webHidden/>
          </w:rPr>
          <w:instrText xml:space="preserve"> PAGEREF _Toc239067885 \h </w:instrText>
        </w:r>
        <w:r>
          <w:rPr>
            <w:noProof/>
            <w:webHidden/>
          </w:rPr>
        </w:r>
        <w:r>
          <w:rPr>
            <w:noProof/>
            <w:webHidden/>
          </w:rPr>
          <w:fldChar w:fldCharType="separate"/>
        </w:r>
        <w:r>
          <w:rPr>
            <w:noProof/>
            <w:webHidden/>
          </w:rPr>
          <w:t>36</w:t>
        </w:r>
        <w:r>
          <w:rPr>
            <w:noProof/>
            <w:webHidden/>
          </w:rPr>
          <w:fldChar w:fldCharType="end"/>
        </w:r>
      </w:hyperlink>
    </w:p>
    <w:p w14:paraId="544A2510" w14:textId="520ECAA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6" w:history="1">
        <w:r w:rsidRPr="00472148">
          <w:rPr>
            <w:rStyle w:val="Hypertextovodkaz"/>
            <w:noProof/>
          </w:rPr>
          <w:t xml:space="preserve">Tabulka 17 Běžné výdaje </w:t>
        </w:r>
        <w:r w:rsidRPr="00472148">
          <w:rPr>
            <w:rStyle w:val="Hypertextovodkaz"/>
            <w:i/>
            <w:noProof/>
          </w:rPr>
          <w:t>(v mld. Kč)</w:t>
        </w:r>
        <w:r>
          <w:rPr>
            <w:noProof/>
            <w:webHidden/>
          </w:rPr>
          <w:tab/>
        </w:r>
        <w:r>
          <w:rPr>
            <w:noProof/>
            <w:webHidden/>
          </w:rPr>
          <w:fldChar w:fldCharType="begin"/>
        </w:r>
        <w:r>
          <w:rPr>
            <w:noProof/>
            <w:webHidden/>
          </w:rPr>
          <w:instrText xml:space="preserve"> PAGEREF _Toc239067886 \h </w:instrText>
        </w:r>
        <w:r>
          <w:rPr>
            <w:noProof/>
            <w:webHidden/>
          </w:rPr>
        </w:r>
        <w:r>
          <w:rPr>
            <w:noProof/>
            <w:webHidden/>
          </w:rPr>
          <w:fldChar w:fldCharType="separate"/>
        </w:r>
        <w:r>
          <w:rPr>
            <w:noProof/>
            <w:webHidden/>
          </w:rPr>
          <w:t>39</w:t>
        </w:r>
        <w:r>
          <w:rPr>
            <w:noProof/>
            <w:webHidden/>
          </w:rPr>
          <w:fldChar w:fldCharType="end"/>
        </w:r>
      </w:hyperlink>
    </w:p>
    <w:p w14:paraId="3B7CC508" w14:textId="210A5EA4"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7" w:history="1">
        <w:r w:rsidRPr="00472148">
          <w:rPr>
            <w:rStyle w:val="Hypertextovodkaz"/>
            <w:noProof/>
          </w:rPr>
          <w:t xml:space="preserve">Tabulka 18 Užší běžné výdaje organizačních složek státu v členění dle druhu výdajů </w:t>
        </w:r>
        <w:r w:rsidRPr="00472148">
          <w:rPr>
            <w:rStyle w:val="Hypertextovodkaz"/>
            <w:i/>
            <w:noProof/>
          </w:rPr>
          <w:t>(v mil. Kč)</w:t>
        </w:r>
        <w:r>
          <w:rPr>
            <w:noProof/>
            <w:webHidden/>
          </w:rPr>
          <w:tab/>
        </w:r>
        <w:r>
          <w:rPr>
            <w:noProof/>
            <w:webHidden/>
          </w:rPr>
          <w:fldChar w:fldCharType="begin"/>
        </w:r>
        <w:r>
          <w:rPr>
            <w:noProof/>
            <w:webHidden/>
          </w:rPr>
          <w:instrText xml:space="preserve"> PAGEREF _Toc239067887 \h </w:instrText>
        </w:r>
        <w:r>
          <w:rPr>
            <w:noProof/>
            <w:webHidden/>
          </w:rPr>
        </w:r>
        <w:r>
          <w:rPr>
            <w:noProof/>
            <w:webHidden/>
          </w:rPr>
          <w:fldChar w:fldCharType="separate"/>
        </w:r>
        <w:r>
          <w:rPr>
            <w:noProof/>
            <w:webHidden/>
          </w:rPr>
          <w:t>41</w:t>
        </w:r>
        <w:r>
          <w:rPr>
            <w:noProof/>
            <w:webHidden/>
          </w:rPr>
          <w:fldChar w:fldCharType="end"/>
        </w:r>
      </w:hyperlink>
    </w:p>
    <w:p w14:paraId="3C9FA52A" w14:textId="3C5410BF"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8" w:history="1">
        <w:r w:rsidRPr="00472148">
          <w:rPr>
            <w:rStyle w:val="Hypertextovodkaz"/>
            <w:noProof/>
          </w:rPr>
          <w:t>Tabulka 19 Užší běžné výdaje organizačních složek státu v členění dle kapitol (</w:t>
        </w:r>
        <w:r w:rsidRPr="00472148">
          <w:rPr>
            <w:rStyle w:val="Hypertextovodkaz"/>
            <w:i/>
            <w:noProof/>
          </w:rPr>
          <w:t>v mil. Kč</w:t>
        </w:r>
        <w:r w:rsidRPr="00472148">
          <w:rPr>
            <w:rStyle w:val="Hypertextovodkaz"/>
            <w:noProof/>
          </w:rPr>
          <w:t>)</w:t>
        </w:r>
        <w:r>
          <w:rPr>
            <w:noProof/>
            <w:webHidden/>
          </w:rPr>
          <w:tab/>
        </w:r>
        <w:r>
          <w:rPr>
            <w:noProof/>
            <w:webHidden/>
          </w:rPr>
          <w:fldChar w:fldCharType="begin"/>
        </w:r>
        <w:r>
          <w:rPr>
            <w:noProof/>
            <w:webHidden/>
          </w:rPr>
          <w:instrText xml:space="preserve"> PAGEREF _Toc239067888 \h </w:instrText>
        </w:r>
        <w:r>
          <w:rPr>
            <w:noProof/>
            <w:webHidden/>
          </w:rPr>
        </w:r>
        <w:r>
          <w:rPr>
            <w:noProof/>
            <w:webHidden/>
          </w:rPr>
          <w:fldChar w:fldCharType="separate"/>
        </w:r>
        <w:r>
          <w:rPr>
            <w:noProof/>
            <w:webHidden/>
          </w:rPr>
          <w:t>44</w:t>
        </w:r>
        <w:r>
          <w:rPr>
            <w:noProof/>
            <w:webHidden/>
          </w:rPr>
          <w:fldChar w:fldCharType="end"/>
        </w:r>
      </w:hyperlink>
    </w:p>
    <w:p w14:paraId="53900D41" w14:textId="000F5AAF"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89" w:history="1">
        <w:r w:rsidRPr="00472148">
          <w:rPr>
            <w:rStyle w:val="Hypertextovodkaz"/>
            <w:noProof/>
          </w:rPr>
          <w:t xml:space="preserve">Tabulka 20 Celkové výdaje státního rozpočtu na financování programů </w:t>
        </w:r>
        <w:r w:rsidRPr="00472148">
          <w:rPr>
            <w:rStyle w:val="Hypertextovodkaz"/>
            <w:i/>
            <w:noProof/>
          </w:rPr>
          <w:t>(v mld. Kč)</w:t>
        </w:r>
        <w:r>
          <w:rPr>
            <w:noProof/>
            <w:webHidden/>
          </w:rPr>
          <w:tab/>
        </w:r>
        <w:r>
          <w:rPr>
            <w:noProof/>
            <w:webHidden/>
          </w:rPr>
          <w:fldChar w:fldCharType="begin"/>
        </w:r>
        <w:r>
          <w:rPr>
            <w:noProof/>
            <w:webHidden/>
          </w:rPr>
          <w:instrText xml:space="preserve"> PAGEREF _Toc239067889 \h </w:instrText>
        </w:r>
        <w:r>
          <w:rPr>
            <w:noProof/>
            <w:webHidden/>
          </w:rPr>
        </w:r>
        <w:r>
          <w:rPr>
            <w:noProof/>
            <w:webHidden/>
          </w:rPr>
          <w:fldChar w:fldCharType="separate"/>
        </w:r>
        <w:r>
          <w:rPr>
            <w:noProof/>
            <w:webHidden/>
          </w:rPr>
          <w:t>45</w:t>
        </w:r>
        <w:r>
          <w:rPr>
            <w:noProof/>
            <w:webHidden/>
          </w:rPr>
          <w:fldChar w:fldCharType="end"/>
        </w:r>
      </w:hyperlink>
    </w:p>
    <w:p w14:paraId="58595E03" w14:textId="47ACABDE"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0" w:history="1">
        <w:r w:rsidRPr="00472148">
          <w:rPr>
            <w:rStyle w:val="Hypertextovodkaz"/>
            <w:noProof/>
          </w:rPr>
          <w:t xml:space="preserve">Tabulka 21 Přehled výdajů na neinvestiční transfery podnikatelským subjektům podle kapitol – podseskupení rozpočtové skladby 521 </w:t>
        </w:r>
        <w:r w:rsidRPr="00472148">
          <w:rPr>
            <w:rStyle w:val="Hypertextovodkaz"/>
            <w:i/>
            <w:noProof/>
          </w:rPr>
          <w:t>(v mil. Kč)</w:t>
        </w:r>
        <w:r>
          <w:rPr>
            <w:noProof/>
            <w:webHidden/>
          </w:rPr>
          <w:tab/>
        </w:r>
        <w:r>
          <w:rPr>
            <w:noProof/>
            <w:webHidden/>
          </w:rPr>
          <w:fldChar w:fldCharType="begin"/>
        </w:r>
        <w:r>
          <w:rPr>
            <w:noProof/>
            <w:webHidden/>
          </w:rPr>
          <w:instrText xml:space="preserve"> PAGEREF _Toc239067890 \h </w:instrText>
        </w:r>
        <w:r>
          <w:rPr>
            <w:noProof/>
            <w:webHidden/>
          </w:rPr>
        </w:r>
        <w:r>
          <w:rPr>
            <w:noProof/>
            <w:webHidden/>
          </w:rPr>
          <w:fldChar w:fldCharType="separate"/>
        </w:r>
        <w:r>
          <w:rPr>
            <w:noProof/>
            <w:webHidden/>
          </w:rPr>
          <w:t>46</w:t>
        </w:r>
        <w:r>
          <w:rPr>
            <w:noProof/>
            <w:webHidden/>
          </w:rPr>
          <w:fldChar w:fldCharType="end"/>
        </w:r>
      </w:hyperlink>
    </w:p>
    <w:p w14:paraId="77788C67" w14:textId="29BE0F3B"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1" w:history="1">
        <w:r w:rsidRPr="00472148">
          <w:rPr>
            <w:rStyle w:val="Hypertextovodkaz"/>
            <w:noProof/>
          </w:rPr>
          <w:t xml:space="preserve">Tabulka 22 Neinvestiční transfery neziskovým a podobným organizacím </w:t>
        </w:r>
        <w:r w:rsidRPr="00472148">
          <w:rPr>
            <w:rStyle w:val="Hypertextovodkaz"/>
            <w:i/>
            <w:noProof/>
          </w:rPr>
          <w:t>(v mil. Kč)</w:t>
        </w:r>
        <w:r>
          <w:rPr>
            <w:noProof/>
            <w:webHidden/>
          </w:rPr>
          <w:tab/>
        </w:r>
        <w:r>
          <w:rPr>
            <w:noProof/>
            <w:webHidden/>
          </w:rPr>
          <w:fldChar w:fldCharType="begin"/>
        </w:r>
        <w:r>
          <w:rPr>
            <w:noProof/>
            <w:webHidden/>
          </w:rPr>
          <w:instrText xml:space="preserve"> PAGEREF _Toc239067891 \h </w:instrText>
        </w:r>
        <w:r>
          <w:rPr>
            <w:noProof/>
            <w:webHidden/>
          </w:rPr>
        </w:r>
        <w:r>
          <w:rPr>
            <w:noProof/>
            <w:webHidden/>
          </w:rPr>
          <w:fldChar w:fldCharType="separate"/>
        </w:r>
        <w:r>
          <w:rPr>
            <w:noProof/>
            <w:webHidden/>
          </w:rPr>
          <w:t>49</w:t>
        </w:r>
        <w:r>
          <w:rPr>
            <w:noProof/>
            <w:webHidden/>
          </w:rPr>
          <w:fldChar w:fldCharType="end"/>
        </w:r>
      </w:hyperlink>
    </w:p>
    <w:p w14:paraId="66AF3A29" w14:textId="6E7DB1C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2" w:history="1">
        <w:r w:rsidRPr="00472148">
          <w:rPr>
            <w:rStyle w:val="Hypertextovodkaz"/>
            <w:noProof/>
          </w:rPr>
          <w:t xml:space="preserve">Tabulka 23 Investiční transfery neziskovým a podobným organizacím </w:t>
        </w:r>
        <w:r w:rsidRPr="00472148">
          <w:rPr>
            <w:rStyle w:val="Hypertextovodkaz"/>
            <w:i/>
            <w:noProof/>
          </w:rPr>
          <w:t>(v mil. Kč)</w:t>
        </w:r>
        <w:r>
          <w:rPr>
            <w:noProof/>
            <w:webHidden/>
          </w:rPr>
          <w:tab/>
        </w:r>
        <w:r>
          <w:rPr>
            <w:noProof/>
            <w:webHidden/>
          </w:rPr>
          <w:fldChar w:fldCharType="begin"/>
        </w:r>
        <w:r>
          <w:rPr>
            <w:noProof/>
            <w:webHidden/>
          </w:rPr>
          <w:instrText xml:space="preserve"> PAGEREF _Toc239067892 \h </w:instrText>
        </w:r>
        <w:r>
          <w:rPr>
            <w:noProof/>
            <w:webHidden/>
          </w:rPr>
        </w:r>
        <w:r>
          <w:rPr>
            <w:noProof/>
            <w:webHidden/>
          </w:rPr>
          <w:fldChar w:fldCharType="separate"/>
        </w:r>
        <w:r>
          <w:rPr>
            <w:noProof/>
            <w:webHidden/>
          </w:rPr>
          <w:t>50</w:t>
        </w:r>
        <w:r>
          <w:rPr>
            <w:noProof/>
            <w:webHidden/>
          </w:rPr>
          <w:fldChar w:fldCharType="end"/>
        </w:r>
      </w:hyperlink>
    </w:p>
    <w:p w14:paraId="6B5722B7" w14:textId="7A6367B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3" w:history="1">
        <w:r w:rsidRPr="00472148">
          <w:rPr>
            <w:rStyle w:val="Hypertextovodkaz"/>
            <w:noProof/>
          </w:rPr>
          <w:t xml:space="preserve">Tabulka 24 Vývoj výdajů na výzkum, vývoj, inovace a transfer znalostí </w:t>
        </w:r>
        <w:r w:rsidRPr="00472148">
          <w:rPr>
            <w:rStyle w:val="Hypertextovodkaz"/>
            <w:i/>
            <w:noProof/>
          </w:rPr>
          <w:t>(v mld. Kč)</w:t>
        </w:r>
        <w:r>
          <w:rPr>
            <w:noProof/>
            <w:webHidden/>
          </w:rPr>
          <w:tab/>
        </w:r>
        <w:r>
          <w:rPr>
            <w:noProof/>
            <w:webHidden/>
          </w:rPr>
          <w:fldChar w:fldCharType="begin"/>
        </w:r>
        <w:r>
          <w:rPr>
            <w:noProof/>
            <w:webHidden/>
          </w:rPr>
          <w:instrText xml:space="preserve"> PAGEREF _Toc239067893 \h </w:instrText>
        </w:r>
        <w:r>
          <w:rPr>
            <w:noProof/>
            <w:webHidden/>
          </w:rPr>
        </w:r>
        <w:r>
          <w:rPr>
            <w:noProof/>
            <w:webHidden/>
          </w:rPr>
          <w:fldChar w:fldCharType="separate"/>
        </w:r>
        <w:r>
          <w:rPr>
            <w:noProof/>
            <w:webHidden/>
          </w:rPr>
          <w:t>51</w:t>
        </w:r>
        <w:r>
          <w:rPr>
            <w:noProof/>
            <w:webHidden/>
          </w:rPr>
          <w:fldChar w:fldCharType="end"/>
        </w:r>
      </w:hyperlink>
    </w:p>
    <w:p w14:paraId="08DBAEEF" w14:textId="465252AD"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4" w:history="1">
        <w:r w:rsidRPr="00472148">
          <w:rPr>
            <w:rStyle w:val="Hypertextovodkaz"/>
            <w:noProof/>
          </w:rPr>
          <w:t xml:space="preserve">Tabulka 25 Výdaje na obranu státu (závazný průřezový ukazatel) podle kapitol státního rozpočtu </w:t>
        </w:r>
        <w:r w:rsidRPr="00472148">
          <w:rPr>
            <w:rStyle w:val="Hypertextovodkaz"/>
            <w:i/>
            <w:noProof/>
          </w:rPr>
          <w:t>(v Kč)</w:t>
        </w:r>
        <w:r>
          <w:rPr>
            <w:noProof/>
            <w:webHidden/>
          </w:rPr>
          <w:tab/>
        </w:r>
        <w:r>
          <w:rPr>
            <w:noProof/>
            <w:webHidden/>
          </w:rPr>
          <w:fldChar w:fldCharType="begin"/>
        </w:r>
        <w:r>
          <w:rPr>
            <w:noProof/>
            <w:webHidden/>
          </w:rPr>
          <w:instrText xml:space="preserve"> PAGEREF _Toc239067894 \h </w:instrText>
        </w:r>
        <w:r>
          <w:rPr>
            <w:noProof/>
            <w:webHidden/>
          </w:rPr>
        </w:r>
        <w:r>
          <w:rPr>
            <w:noProof/>
            <w:webHidden/>
          </w:rPr>
          <w:fldChar w:fldCharType="separate"/>
        </w:r>
        <w:r>
          <w:rPr>
            <w:noProof/>
            <w:webHidden/>
          </w:rPr>
          <w:t>53</w:t>
        </w:r>
        <w:r>
          <w:rPr>
            <w:noProof/>
            <w:webHidden/>
          </w:rPr>
          <w:fldChar w:fldCharType="end"/>
        </w:r>
      </w:hyperlink>
    </w:p>
    <w:p w14:paraId="6ED2C264" w14:textId="6788022E"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5" w:history="1">
        <w:r w:rsidRPr="00472148">
          <w:rPr>
            <w:rStyle w:val="Hypertextovodkaz"/>
            <w:noProof/>
          </w:rPr>
          <w:t>Tabulka 26 Výdaje související s obranou a bezpečností ve státním rozpočtu a u ÚSC</w:t>
        </w:r>
        <w:r>
          <w:rPr>
            <w:noProof/>
            <w:webHidden/>
          </w:rPr>
          <w:tab/>
        </w:r>
        <w:r>
          <w:rPr>
            <w:noProof/>
            <w:webHidden/>
          </w:rPr>
          <w:fldChar w:fldCharType="begin"/>
        </w:r>
        <w:r>
          <w:rPr>
            <w:noProof/>
            <w:webHidden/>
          </w:rPr>
          <w:instrText xml:space="preserve"> PAGEREF _Toc239067895 \h </w:instrText>
        </w:r>
        <w:r>
          <w:rPr>
            <w:noProof/>
            <w:webHidden/>
          </w:rPr>
        </w:r>
        <w:r>
          <w:rPr>
            <w:noProof/>
            <w:webHidden/>
          </w:rPr>
          <w:fldChar w:fldCharType="separate"/>
        </w:r>
        <w:r>
          <w:rPr>
            <w:noProof/>
            <w:webHidden/>
          </w:rPr>
          <w:t>55</w:t>
        </w:r>
        <w:r>
          <w:rPr>
            <w:noProof/>
            <w:webHidden/>
          </w:rPr>
          <w:fldChar w:fldCharType="end"/>
        </w:r>
      </w:hyperlink>
    </w:p>
    <w:p w14:paraId="26785FAE" w14:textId="15DBB050"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6" w:history="1">
        <w:r w:rsidRPr="00472148">
          <w:rPr>
            <w:rStyle w:val="Hypertextovodkaz"/>
            <w:noProof/>
          </w:rPr>
          <w:t>Tabulka 27 Celkové příjmy a výdaje kapitoly Ministerstvo financí (v mil. Kč)</w:t>
        </w:r>
        <w:r>
          <w:rPr>
            <w:noProof/>
            <w:webHidden/>
          </w:rPr>
          <w:tab/>
        </w:r>
        <w:r>
          <w:rPr>
            <w:noProof/>
            <w:webHidden/>
          </w:rPr>
          <w:fldChar w:fldCharType="begin"/>
        </w:r>
        <w:r>
          <w:rPr>
            <w:noProof/>
            <w:webHidden/>
          </w:rPr>
          <w:instrText xml:space="preserve"> PAGEREF _Toc239067896 \h </w:instrText>
        </w:r>
        <w:r>
          <w:rPr>
            <w:noProof/>
            <w:webHidden/>
          </w:rPr>
        </w:r>
        <w:r>
          <w:rPr>
            <w:noProof/>
            <w:webHidden/>
          </w:rPr>
          <w:fldChar w:fldCharType="separate"/>
        </w:r>
        <w:r>
          <w:rPr>
            <w:noProof/>
            <w:webHidden/>
          </w:rPr>
          <w:t>56</w:t>
        </w:r>
        <w:r>
          <w:rPr>
            <w:noProof/>
            <w:webHidden/>
          </w:rPr>
          <w:fldChar w:fldCharType="end"/>
        </w:r>
      </w:hyperlink>
    </w:p>
    <w:p w14:paraId="72FB58AB" w14:textId="4986AA35"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7" w:history="1">
        <w:r w:rsidRPr="00472148">
          <w:rPr>
            <w:rStyle w:val="Hypertextovodkaz"/>
            <w:noProof/>
          </w:rPr>
          <w:t>Tabulka 28 Celkové příjmy a výdaje kapitoly Ministerstvo vnitra (v mil. Kč)</w:t>
        </w:r>
        <w:r>
          <w:rPr>
            <w:noProof/>
            <w:webHidden/>
          </w:rPr>
          <w:tab/>
        </w:r>
        <w:r>
          <w:rPr>
            <w:noProof/>
            <w:webHidden/>
          </w:rPr>
          <w:fldChar w:fldCharType="begin"/>
        </w:r>
        <w:r>
          <w:rPr>
            <w:noProof/>
            <w:webHidden/>
          </w:rPr>
          <w:instrText xml:space="preserve"> PAGEREF _Toc239067897 \h </w:instrText>
        </w:r>
        <w:r>
          <w:rPr>
            <w:noProof/>
            <w:webHidden/>
          </w:rPr>
        </w:r>
        <w:r>
          <w:rPr>
            <w:noProof/>
            <w:webHidden/>
          </w:rPr>
          <w:fldChar w:fldCharType="separate"/>
        </w:r>
        <w:r>
          <w:rPr>
            <w:noProof/>
            <w:webHidden/>
          </w:rPr>
          <w:t>57</w:t>
        </w:r>
        <w:r>
          <w:rPr>
            <w:noProof/>
            <w:webHidden/>
          </w:rPr>
          <w:fldChar w:fldCharType="end"/>
        </w:r>
      </w:hyperlink>
    </w:p>
    <w:p w14:paraId="2F859CBF" w14:textId="0445802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8" w:history="1">
        <w:r w:rsidRPr="00472148">
          <w:rPr>
            <w:rStyle w:val="Hypertextovodkaz"/>
            <w:noProof/>
          </w:rPr>
          <w:t>Tabulka 29 Celkové příjmy a výdaje kapitoly Ministerstvo životního prostředí (v mil. Kč)</w:t>
        </w:r>
        <w:r>
          <w:rPr>
            <w:noProof/>
            <w:webHidden/>
          </w:rPr>
          <w:tab/>
        </w:r>
        <w:r>
          <w:rPr>
            <w:noProof/>
            <w:webHidden/>
          </w:rPr>
          <w:fldChar w:fldCharType="begin"/>
        </w:r>
        <w:r>
          <w:rPr>
            <w:noProof/>
            <w:webHidden/>
          </w:rPr>
          <w:instrText xml:space="preserve"> PAGEREF _Toc239067898 \h </w:instrText>
        </w:r>
        <w:r>
          <w:rPr>
            <w:noProof/>
            <w:webHidden/>
          </w:rPr>
        </w:r>
        <w:r>
          <w:rPr>
            <w:noProof/>
            <w:webHidden/>
          </w:rPr>
          <w:fldChar w:fldCharType="separate"/>
        </w:r>
        <w:r>
          <w:rPr>
            <w:noProof/>
            <w:webHidden/>
          </w:rPr>
          <w:t>57</w:t>
        </w:r>
        <w:r>
          <w:rPr>
            <w:noProof/>
            <w:webHidden/>
          </w:rPr>
          <w:fldChar w:fldCharType="end"/>
        </w:r>
      </w:hyperlink>
    </w:p>
    <w:p w14:paraId="33DB1258" w14:textId="68D29223"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899" w:history="1">
        <w:r w:rsidRPr="00472148">
          <w:rPr>
            <w:rStyle w:val="Hypertextovodkaz"/>
            <w:noProof/>
          </w:rPr>
          <w:t>Tabulka 30 Celkové příjmy a výdaje kapitoly Ministerstvo pro místní rozvoj (v mil. Kč)</w:t>
        </w:r>
        <w:r>
          <w:rPr>
            <w:noProof/>
            <w:webHidden/>
          </w:rPr>
          <w:tab/>
        </w:r>
        <w:r>
          <w:rPr>
            <w:noProof/>
            <w:webHidden/>
          </w:rPr>
          <w:fldChar w:fldCharType="begin"/>
        </w:r>
        <w:r>
          <w:rPr>
            <w:noProof/>
            <w:webHidden/>
          </w:rPr>
          <w:instrText xml:space="preserve"> PAGEREF _Toc239067899 \h </w:instrText>
        </w:r>
        <w:r>
          <w:rPr>
            <w:noProof/>
            <w:webHidden/>
          </w:rPr>
        </w:r>
        <w:r>
          <w:rPr>
            <w:noProof/>
            <w:webHidden/>
          </w:rPr>
          <w:fldChar w:fldCharType="separate"/>
        </w:r>
        <w:r>
          <w:rPr>
            <w:noProof/>
            <w:webHidden/>
          </w:rPr>
          <w:t>58</w:t>
        </w:r>
        <w:r>
          <w:rPr>
            <w:noProof/>
            <w:webHidden/>
          </w:rPr>
          <w:fldChar w:fldCharType="end"/>
        </w:r>
      </w:hyperlink>
    </w:p>
    <w:p w14:paraId="765B9454" w14:textId="53579CC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0" w:history="1">
        <w:r w:rsidRPr="00472148">
          <w:rPr>
            <w:rStyle w:val="Hypertextovodkaz"/>
            <w:noProof/>
          </w:rPr>
          <w:t>Tabulka 31 Celkové příjmy a výdaje kapitoly Ministerstvo průmyslu a obchodu (v mil. Kč)</w:t>
        </w:r>
        <w:r>
          <w:rPr>
            <w:noProof/>
            <w:webHidden/>
          </w:rPr>
          <w:tab/>
        </w:r>
        <w:r>
          <w:rPr>
            <w:noProof/>
            <w:webHidden/>
          </w:rPr>
          <w:fldChar w:fldCharType="begin"/>
        </w:r>
        <w:r>
          <w:rPr>
            <w:noProof/>
            <w:webHidden/>
          </w:rPr>
          <w:instrText xml:space="preserve"> PAGEREF _Toc239067900 \h </w:instrText>
        </w:r>
        <w:r>
          <w:rPr>
            <w:noProof/>
            <w:webHidden/>
          </w:rPr>
        </w:r>
        <w:r>
          <w:rPr>
            <w:noProof/>
            <w:webHidden/>
          </w:rPr>
          <w:fldChar w:fldCharType="separate"/>
        </w:r>
        <w:r>
          <w:rPr>
            <w:noProof/>
            <w:webHidden/>
          </w:rPr>
          <w:t>59</w:t>
        </w:r>
        <w:r>
          <w:rPr>
            <w:noProof/>
            <w:webHidden/>
          </w:rPr>
          <w:fldChar w:fldCharType="end"/>
        </w:r>
      </w:hyperlink>
    </w:p>
    <w:p w14:paraId="32565CF8" w14:textId="30465BA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1" w:history="1">
        <w:r w:rsidRPr="00472148">
          <w:rPr>
            <w:rStyle w:val="Hypertextovodkaz"/>
            <w:noProof/>
          </w:rPr>
          <w:t>Tabulka 32 Celkové příjmy a výdaje kapitoly Ministerstvo dopravy (v mil. Kč)</w:t>
        </w:r>
        <w:r>
          <w:rPr>
            <w:noProof/>
            <w:webHidden/>
          </w:rPr>
          <w:tab/>
        </w:r>
        <w:r>
          <w:rPr>
            <w:noProof/>
            <w:webHidden/>
          </w:rPr>
          <w:fldChar w:fldCharType="begin"/>
        </w:r>
        <w:r>
          <w:rPr>
            <w:noProof/>
            <w:webHidden/>
          </w:rPr>
          <w:instrText xml:space="preserve"> PAGEREF _Toc239067901 \h </w:instrText>
        </w:r>
        <w:r>
          <w:rPr>
            <w:noProof/>
            <w:webHidden/>
          </w:rPr>
        </w:r>
        <w:r>
          <w:rPr>
            <w:noProof/>
            <w:webHidden/>
          </w:rPr>
          <w:fldChar w:fldCharType="separate"/>
        </w:r>
        <w:r>
          <w:rPr>
            <w:noProof/>
            <w:webHidden/>
          </w:rPr>
          <w:t>60</w:t>
        </w:r>
        <w:r>
          <w:rPr>
            <w:noProof/>
            <w:webHidden/>
          </w:rPr>
          <w:fldChar w:fldCharType="end"/>
        </w:r>
      </w:hyperlink>
    </w:p>
    <w:p w14:paraId="363952B6" w14:textId="585AB42F"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2" w:history="1">
        <w:r w:rsidRPr="00472148">
          <w:rPr>
            <w:rStyle w:val="Hypertextovodkaz"/>
            <w:noProof/>
          </w:rPr>
          <w:t>Tabulka 33 Celkové příjmy a výdaje kapitoly Ministerstvo zemědělství (v mil. Kč)</w:t>
        </w:r>
        <w:r>
          <w:rPr>
            <w:noProof/>
            <w:webHidden/>
          </w:rPr>
          <w:tab/>
        </w:r>
        <w:r>
          <w:rPr>
            <w:noProof/>
            <w:webHidden/>
          </w:rPr>
          <w:fldChar w:fldCharType="begin"/>
        </w:r>
        <w:r>
          <w:rPr>
            <w:noProof/>
            <w:webHidden/>
          </w:rPr>
          <w:instrText xml:space="preserve"> PAGEREF _Toc239067902 \h </w:instrText>
        </w:r>
        <w:r>
          <w:rPr>
            <w:noProof/>
            <w:webHidden/>
          </w:rPr>
        </w:r>
        <w:r>
          <w:rPr>
            <w:noProof/>
            <w:webHidden/>
          </w:rPr>
          <w:fldChar w:fldCharType="separate"/>
        </w:r>
        <w:r>
          <w:rPr>
            <w:noProof/>
            <w:webHidden/>
          </w:rPr>
          <w:t>60</w:t>
        </w:r>
        <w:r>
          <w:rPr>
            <w:noProof/>
            <w:webHidden/>
          </w:rPr>
          <w:fldChar w:fldCharType="end"/>
        </w:r>
      </w:hyperlink>
    </w:p>
    <w:p w14:paraId="5026E7EF" w14:textId="0B455DAE"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3" w:history="1">
        <w:r w:rsidRPr="00472148">
          <w:rPr>
            <w:rStyle w:val="Hypertextovodkaz"/>
            <w:noProof/>
          </w:rPr>
          <w:t>Tabulka 34 Celkové příjmy a výdaje kapitoly Ministerstvo školství, mládeže a tělovýchovy (v mil. Kč)</w:t>
        </w:r>
        <w:r>
          <w:rPr>
            <w:noProof/>
            <w:webHidden/>
          </w:rPr>
          <w:tab/>
        </w:r>
        <w:r>
          <w:rPr>
            <w:noProof/>
            <w:webHidden/>
          </w:rPr>
          <w:fldChar w:fldCharType="begin"/>
        </w:r>
        <w:r>
          <w:rPr>
            <w:noProof/>
            <w:webHidden/>
          </w:rPr>
          <w:instrText xml:space="preserve"> PAGEREF _Toc239067903 \h </w:instrText>
        </w:r>
        <w:r>
          <w:rPr>
            <w:noProof/>
            <w:webHidden/>
          </w:rPr>
        </w:r>
        <w:r>
          <w:rPr>
            <w:noProof/>
            <w:webHidden/>
          </w:rPr>
          <w:fldChar w:fldCharType="separate"/>
        </w:r>
        <w:r>
          <w:rPr>
            <w:noProof/>
            <w:webHidden/>
          </w:rPr>
          <w:t>61</w:t>
        </w:r>
        <w:r>
          <w:rPr>
            <w:noProof/>
            <w:webHidden/>
          </w:rPr>
          <w:fldChar w:fldCharType="end"/>
        </w:r>
      </w:hyperlink>
    </w:p>
    <w:p w14:paraId="7F9C912A" w14:textId="297B7EBC"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4" w:history="1">
        <w:r w:rsidRPr="00472148">
          <w:rPr>
            <w:rStyle w:val="Hypertextovodkaz"/>
            <w:noProof/>
          </w:rPr>
          <w:t>Tabulka 35 Vývoj státního dluhu a jeho podílu na HDP</w:t>
        </w:r>
        <w:r>
          <w:rPr>
            <w:noProof/>
            <w:webHidden/>
          </w:rPr>
          <w:tab/>
        </w:r>
        <w:r>
          <w:rPr>
            <w:noProof/>
            <w:webHidden/>
          </w:rPr>
          <w:fldChar w:fldCharType="begin"/>
        </w:r>
        <w:r>
          <w:rPr>
            <w:noProof/>
            <w:webHidden/>
          </w:rPr>
          <w:instrText xml:space="preserve"> PAGEREF _Toc239067904 \h </w:instrText>
        </w:r>
        <w:r>
          <w:rPr>
            <w:noProof/>
            <w:webHidden/>
          </w:rPr>
        </w:r>
        <w:r>
          <w:rPr>
            <w:noProof/>
            <w:webHidden/>
          </w:rPr>
          <w:fldChar w:fldCharType="separate"/>
        </w:r>
        <w:r>
          <w:rPr>
            <w:noProof/>
            <w:webHidden/>
          </w:rPr>
          <w:t>62</w:t>
        </w:r>
        <w:r>
          <w:rPr>
            <w:noProof/>
            <w:webHidden/>
          </w:rPr>
          <w:fldChar w:fldCharType="end"/>
        </w:r>
      </w:hyperlink>
    </w:p>
    <w:p w14:paraId="3479F431" w14:textId="4E0D4114"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5" w:history="1">
        <w:r w:rsidRPr="00472148">
          <w:rPr>
            <w:rStyle w:val="Hypertextovodkaz"/>
            <w:noProof/>
          </w:rPr>
          <w:t xml:space="preserve">Tabulka 36 Struktura státního dluhu </w:t>
        </w:r>
        <w:r w:rsidRPr="00472148">
          <w:rPr>
            <w:rStyle w:val="Hypertextovodkaz"/>
            <w:i/>
            <w:noProof/>
          </w:rPr>
          <w:t>(v mld. Kč)</w:t>
        </w:r>
        <w:r>
          <w:rPr>
            <w:noProof/>
            <w:webHidden/>
          </w:rPr>
          <w:tab/>
        </w:r>
        <w:r>
          <w:rPr>
            <w:noProof/>
            <w:webHidden/>
          </w:rPr>
          <w:fldChar w:fldCharType="begin"/>
        </w:r>
        <w:r>
          <w:rPr>
            <w:noProof/>
            <w:webHidden/>
          </w:rPr>
          <w:instrText xml:space="preserve"> PAGEREF _Toc239067905 \h </w:instrText>
        </w:r>
        <w:r>
          <w:rPr>
            <w:noProof/>
            <w:webHidden/>
          </w:rPr>
        </w:r>
        <w:r>
          <w:rPr>
            <w:noProof/>
            <w:webHidden/>
          </w:rPr>
          <w:fldChar w:fldCharType="separate"/>
        </w:r>
        <w:r>
          <w:rPr>
            <w:noProof/>
            <w:webHidden/>
          </w:rPr>
          <w:t>64</w:t>
        </w:r>
        <w:r>
          <w:rPr>
            <w:noProof/>
            <w:webHidden/>
          </w:rPr>
          <w:fldChar w:fldCharType="end"/>
        </w:r>
      </w:hyperlink>
    </w:p>
    <w:p w14:paraId="4599C00F" w14:textId="5B7086D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6" w:history="1">
        <w:r w:rsidRPr="00472148">
          <w:rPr>
            <w:rStyle w:val="Hypertextovodkaz"/>
            <w:noProof/>
          </w:rPr>
          <w:t xml:space="preserve">Tabulka 37 Základní ukazatele kapitoly Státní dluh </w:t>
        </w:r>
        <w:r w:rsidRPr="00472148">
          <w:rPr>
            <w:rStyle w:val="Hypertextovodkaz"/>
            <w:i/>
            <w:noProof/>
          </w:rPr>
          <w:t>(v mil. Kč)</w:t>
        </w:r>
        <w:r>
          <w:rPr>
            <w:noProof/>
            <w:webHidden/>
          </w:rPr>
          <w:tab/>
        </w:r>
        <w:r>
          <w:rPr>
            <w:noProof/>
            <w:webHidden/>
          </w:rPr>
          <w:fldChar w:fldCharType="begin"/>
        </w:r>
        <w:r>
          <w:rPr>
            <w:noProof/>
            <w:webHidden/>
          </w:rPr>
          <w:instrText xml:space="preserve"> PAGEREF _Toc239067906 \h </w:instrText>
        </w:r>
        <w:r>
          <w:rPr>
            <w:noProof/>
            <w:webHidden/>
          </w:rPr>
        </w:r>
        <w:r>
          <w:rPr>
            <w:noProof/>
            <w:webHidden/>
          </w:rPr>
          <w:fldChar w:fldCharType="separate"/>
        </w:r>
        <w:r>
          <w:rPr>
            <w:noProof/>
            <w:webHidden/>
          </w:rPr>
          <w:t>65</w:t>
        </w:r>
        <w:r>
          <w:rPr>
            <w:noProof/>
            <w:webHidden/>
          </w:rPr>
          <w:fldChar w:fldCharType="end"/>
        </w:r>
      </w:hyperlink>
    </w:p>
    <w:p w14:paraId="3669EB7F" w14:textId="099BB0AF"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7" w:history="1">
        <w:r w:rsidRPr="00472148">
          <w:rPr>
            <w:rStyle w:val="Hypertextovodkaz"/>
            <w:noProof/>
          </w:rPr>
          <w:t>Tabulka 38 Celkové příjmy a výdaje kapitoly Všeobecná pokladní správa (v mil. Kč)</w:t>
        </w:r>
        <w:r>
          <w:rPr>
            <w:noProof/>
            <w:webHidden/>
          </w:rPr>
          <w:tab/>
        </w:r>
        <w:r>
          <w:rPr>
            <w:noProof/>
            <w:webHidden/>
          </w:rPr>
          <w:fldChar w:fldCharType="begin"/>
        </w:r>
        <w:r>
          <w:rPr>
            <w:noProof/>
            <w:webHidden/>
          </w:rPr>
          <w:instrText xml:space="preserve"> PAGEREF _Toc239067907 \h </w:instrText>
        </w:r>
        <w:r>
          <w:rPr>
            <w:noProof/>
            <w:webHidden/>
          </w:rPr>
        </w:r>
        <w:r>
          <w:rPr>
            <w:noProof/>
            <w:webHidden/>
          </w:rPr>
          <w:fldChar w:fldCharType="separate"/>
        </w:r>
        <w:r>
          <w:rPr>
            <w:noProof/>
            <w:webHidden/>
          </w:rPr>
          <w:t>65</w:t>
        </w:r>
        <w:r>
          <w:rPr>
            <w:noProof/>
            <w:webHidden/>
          </w:rPr>
          <w:fldChar w:fldCharType="end"/>
        </w:r>
      </w:hyperlink>
    </w:p>
    <w:p w14:paraId="187C3E22" w14:textId="0D0F3C1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8" w:history="1">
        <w:r w:rsidRPr="00472148">
          <w:rPr>
            <w:rStyle w:val="Hypertextovodkaz"/>
            <w:noProof/>
          </w:rPr>
          <w:t xml:space="preserve">Tabulka 39 Odvody do EU </w:t>
        </w:r>
        <w:r w:rsidRPr="00472148">
          <w:rPr>
            <w:rStyle w:val="Hypertextovodkaz"/>
            <w:i/>
            <w:noProof/>
          </w:rPr>
          <w:t>(v mld. Kč)</w:t>
        </w:r>
        <w:r>
          <w:rPr>
            <w:noProof/>
            <w:webHidden/>
          </w:rPr>
          <w:tab/>
        </w:r>
        <w:r>
          <w:rPr>
            <w:noProof/>
            <w:webHidden/>
          </w:rPr>
          <w:fldChar w:fldCharType="begin"/>
        </w:r>
        <w:r>
          <w:rPr>
            <w:noProof/>
            <w:webHidden/>
          </w:rPr>
          <w:instrText xml:space="preserve"> PAGEREF _Toc239067908 \h </w:instrText>
        </w:r>
        <w:r>
          <w:rPr>
            <w:noProof/>
            <w:webHidden/>
          </w:rPr>
        </w:r>
        <w:r>
          <w:rPr>
            <w:noProof/>
            <w:webHidden/>
          </w:rPr>
          <w:fldChar w:fldCharType="separate"/>
        </w:r>
        <w:r>
          <w:rPr>
            <w:noProof/>
            <w:webHidden/>
          </w:rPr>
          <w:t>68</w:t>
        </w:r>
        <w:r>
          <w:rPr>
            <w:noProof/>
            <w:webHidden/>
          </w:rPr>
          <w:fldChar w:fldCharType="end"/>
        </w:r>
      </w:hyperlink>
    </w:p>
    <w:p w14:paraId="71684D67" w14:textId="7AB5B00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09" w:history="1">
        <w:r w:rsidRPr="00472148">
          <w:rPr>
            <w:rStyle w:val="Hypertextovodkaz"/>
            <w:noProof/>
          </w:rPr>
          <w:t xml:space="preserve">Tabulka 40 Porovnání výdajů za oblast EU/FM </w:t>
        </w:r>
        <w:r w:rsidRPr="00472148">
          <w:rPr>
            <w:rStyle w:val="Hypertextovodkaz"/>
            <w:i/>
            <w:noProof/>
          </w:rPr>
          <w:t>(v mil. Kč)</w:t>
        </w:r>
        <w:r>
          <w:rPr>
            <w:noProof/>
            <w:webHidden/>
          </w:rPr>
          <w:tab/>
        </w:r>
        <w:r>
          <w:rPr>
            <w:noProof/>
            <w:webHidden/>
          </w:rPr>
          <w:fldChar w:fldCharType="begin"/>
        </w:r>
        <w:r>
          <w:rPr>
            <w:noProof/>
            <w:webHidden/>
          </w:rPr>
          <w:instrText xml:space="preserve"> PAGEREF _Toc239067909 \h </w:instrText>
        </w:r>
        <w:r>
          <w:rPr>
            <w:noProof/>
            <w:webHidden/>
          </w:rPr>
        </w:r>
        <w:r>
          <w:rPr>
            <w:noProof/>
            <w:webHidden/>
          </w:rPr>
          <w:fldChar w:fldCharType="separate"/>
        </w:r>
        <w:r>
          <w:rPr>
            <w:noProof/>
            <w:webHidden/>
          </w:rPr>
          <w:t>70</w:t>
        </w:r>
        <w:r>
          <w:rPr>
            <w:noProof/>
            <w:webHidden/>
          </w:rPr>
          <w:fldChar w:fldCharType="end"/>
        </w:r>
      </w:hyperlink>
    </w:p>
    <w:p w14:paraId="370D47C8" w14:textId="496E6B51" w:rsidR="009219C0" w:rsidRPr="00972808" w:rsidRDefault="009219C0" w:rsidP="002A65AE">
      <w:pPr>
        <w:pStyle w:val="Seznamobrzk"/>
      </w:pPr>
      <w:r w:rsidRPr="00972808">
        <w:fldChar w:fldCharType="end"/>
      </w:r>
    </w:p>
    <w:p w14:paraId="13879435" w14:textId="77777777" w:rsidR="00D15AE3" w:rsidRPr="00972808" w:rsidRDefault="007F14ED" w:rsidP="00FB23C2">
      <w:pPr>
        <w:pStyle w:val="SRNadpismal"/>
      </w:pPr>
      <w:r w:rsidRPr="00972808">
        <w:lastRenderedPageBreak/>
        <w:t>S</w:t>
      </w:r>
      <w:r w:rsidR="00D15AE3" w:rsidRPr="00972808">
        <w:t xml:space="preserve">eznam </w:t>
      </w:r>
      <w:r w:rsidR="00E55932" w:rsidRPr="00972808">
        <w:t>grafů</w:t>
      </w:r>
    </w:p>
    <w:p w14:paraId="446F56B6" w14:textId="470C2B94" w:rsidR="00344480" w:rsidRDefault="00E55932">
      <w:pPr>
        <w:pStyle w:val="Seznamobrzk"/>
        <w:rPr>
          <w:rFonts w:asciiTheme="minorHAnsi" w:eastAsiaTheme="minorEastAsia" w:hAnsiTheme="minorHAnsi" w:cstheme="minorBidi"/>
          <w:noProof/>
          <w:kern w:val="2"/>
          <w:sz w:val="24"/>
          <w:szCs w:val="24"/>
          <w14:ligatures w14:val="standardContextual"/>
        </w:rPr>
      </w:pPr>
      <w:r w:rsidRPr="00972808">
        <w:rPr>
          <w:b/>
        </w:rPr>
        <w:fldChar w:fldCharType="begin"/>
      </w:r>
      <w:r w:rsidRPr="00972808">
        <w:rPr>
          <w:b/>
        </w:rPr>
        <w:instrText xml:space="preserve"> TOC \h \z \c "Graf" </w:instrText>
      </w:r>
      <w:r w:rsidRPr="00972808">
        <w:rPr>
          <w:b/>
        </w:rPr>
        <w:fldChar w:fldCharType="separate"/>
      </w:r>
      <w:hyperlink w:anchor="_Toc239067910" w:history="1">
        <w:r w:rsidR="00344480" w:rsidRPr="002A062D">
          <w:rPr>
            <w:rStyle w:val="Hypertextovodkaz"/>
            <w:noProof/>
          </w:rPr>
          <w:t xml:space="preserve">Graf 1 Vývoj deficitu státního rozpočtu vč. EU/FM a úč. oper. PRV </w:t>
        </w:r>
        <w:r w:rsidR="00344480" w:rsidRPr="002A062D">
          <w:rPr>
            <w:rStyle w:val="Hypertextovodkaz"/>
            <w:i/>
            <w:noProof/>
          </w:rPr>
          <w:t>(v mld. Kč)</w:t>
        </w:r>
        <w:r w:rsidR="00344480">
          <w:rPr>
            <w:noProof/>
            <w:webHidden/>
          </w:rPr>
          <w:tab/>
        </w:r>
        <w:r w:rsidR="00344480">
          <w:rPr>
            <w:noProof/>
            <w:webHidden/>
          </w:rPr>
          <w:fldChar w:fldCharType="begin"/>
        </w:r>
        <w:r w:rsidR="00344480">
          <w:rPr>
            <w:noProof/>
            <w:webHidden/>
          </w:rPr>
          <w:instrText xml:space="preserve"> PAGEREF _Toc239067910 \h </w:instrText>
        </w:r>
        <w:r w:rsidR="00344480">
          <w:rPr>
            <w:noProof/>
            <w:webHidden/>
          </w:rPr>
        </w:r>
        <w:r w:rsidR="00344480">
          <w:rPr>
            <w:noProof/>
            <w:webHidden/>
          </w:rPr>
          <w:fldChar w:fldCharType="separate"/>
        </w:r>
        <w:r w:rsidR="00344480">
          <w:rPr>
            <w:noProof/>
            <w:webHidden/>
          </w:rPr>
          <w:t>7</w:t>
        </w:r>
        <w:r w:rsidR="00344480">
          <w:rPr>
            <w:noProof/>
            <w:webHidden/>
          </w:rPr>
          <w:fldChar w:fldCharType="end"/>
        </w:r>
      </w:hyperlink>
    </w:p>
    <w:p w14:paraId="7E5E67FE" w14:textId="02AD4010"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1" w:history="1">
        <w:r w:rsidRPr="002A062D">
          <w:rPr>
            <w:rStyle w:val="Hypertextovodkaz"/>
            <w:noProof/>
          </w:rPr>
          <w:t xml:space="preserve">Graf 2 Vývoj základních parametrů státního rozpočtu bez EU/FM a úč. oper. v rámci PRV </w:t>
        </w:r>
        <w:r w:rsidRPr="002A062D">
          <w:rPr>
            <w:rStyle w:val="Hypertextovodkaz"/>
            <w:i/>
            <w:noProof/>
          </w:rPr>
          <w:t>(v mld. Kč)</w:t>
        </w:r>
        <w:r>
          <w:rPr>
            <w:noProof/>
            <w:webHidden/>
          </w:rPr>
          <w:tab/>
        </w:r>
        <w:r>
          <w:rPr>
            <w:noProof/>
            <w:webHidden/>
          </w:rPr>
          <w:fldChar w:fldCharType="begin"/>
        </w:r>
        <w:r>
          <w:rPr>
            <w:noProof/>
            <w:webHidden/>
          </w:rPr>
          <w:instrText xml:space="preserve"> PAGEREF _Toc239067911 \h </w:instrText>
        </w:r>
        <w:r>
          <w:rPr>
            <w:noProof/>
            <w:webHidden/>
          </w:rPr>
        </w:r>
        <w:r>
          <w:rPr>
            <w:noProof/>
            <w:webHidden/>
          </w:rPr>
          <w:fldChar w:fldCharType="separate"/>
        </w:r>
        <w:r>
          <w:rPr>
            <w:noProof/>
            <w:webHidden/>
          </w:rPr>
          <w:t>8</w:t>
        </w:r>
        <w:r>
          <w:rPr>
            <w:noProof/>
            <w:webHidden/>
          </w:rPr>
          <w:fldChar w:fldCharType="end"/>
        </w:r>
      </w:hyperlink>
    </w:p>
    <w:p w14:paraId="06C8805A" w14:textId="6FC7DB1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2" w:history="1">
        <w:r w:rsidRPr="002A062D">
          <w:rPr>
            <w:rStyle w:val="Hypertextovodkaz"/>
            <w:noProof/>
          </w:rPr>
          <w:t>Graf 3 Struktura příjmů státního rozpočtu a jejich podíl na HDP</w:t>
        </w:r>
        <w:r>
          <w:rPr>
            <w:noProof/>
            <w:webHidden/>
          </w:rPr>
          <w:tab/>
        </w:r>
        <w:r>
          <w:rPr>
            <w:noProof/>
            <w:webHidden/>
          </w:rPr>
          <w:fldChar w:fldCharType="begin"/>
        </w:r>
        <w:r>
          <w:rPr>
            <w:noProof/>
            <w:webHidden/>
          </w:rPr>
          <w:instrText xml:space="preserve"> PAGEREF _Toc239067912 \h </w:instrText>
        </w:r>
        <w:r>
          <w:rPr>
            <w:noProof/>
            <w:webHidden/>
          </w:rPr>
        </w:r>
        <w:r>
          <w:rPr>
            <w:noProof/>
            <w:webHidden/>
          </w:rPr>
          <w:fldChar w:fldCharType="separate"/>
        </w:r>
        <w:r>
          <w:rPr>
            <w:noProof/>
            <w:webHidden/>
          </w:rPr>
          <w:t>11</w:t>
        </w:r>
        <w:r>
          <w:rPr>
            <w:noProof/>
            <w:webHidden/>
          </w:rPr>
          <w:fldChar w:fldCharType="end"/>
        </w:r>
      </w:hyperlink>
    </w:p>
    <w:p w14:paraId="54F0A096" w14:textId="1F86364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3" w:history="1">
        <w:r w:rsidRPr="002A062D">
          <w:rPr>
            <w:rStyle w:val="Hypertextovodkaz"/>
            <w:noProof/>
          </w:rPr>
          <w:t>Graf 4 Struktura příjmů státního rozpočtu vč. EU/FM/úč. oper. PRV a jejich podíl na celkových příjmech</w:t>
        </w:r>
        <w:r>
          <w:rPr>
            <w:noProof/>
            <w:webHidden/>
          </w:rPr>
          <w:tab/>
        </w:r>
        <w:r>
          <w:rPr>
            <w:noProof/>
            <w:webHidden/>
          </w:rPr>
          <w:fldChar w:fldCharType="begin"/>
        </w:r>
        <w:r>
          <w:rPr>
            <w:noProof/>
            <w:webHidden/>
          </w:rPr>
          <w:instrText xml:space="preserve"> PAGEREF _Toc239067913 \h </w:instrText>
        </w:r>
        <w:r>
          <w:rPr>
            <w:noProof/>
            <w:webHidden/>
          </w:rPr>
        </w:r>
        <w:r>
          <w:rPr>
            <w:noProof/>
            <w:webHidden/>
          </w:rPr>
          <w:fldChar w:fldCharType="separate"/>
        </w:r>
        <w:r>
          <w:rPr>
            <w:noProof/>
            <w:webHidden/>
          </w:rPr>
          <w:t>12</w:t>
        </w:r>
        <w:r>
          <w:rPr>
            <w:noProof/>
            <w:webHidden/>
          </w:rPr>
          <w:fldChar w:fldCharType="end"/>
        </w:r>
      </w:hyperlink>
    </w:p>
    <w:p w14:paraId="2E4D748F" w14:textId="048185E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4" w:history="1">
        <w:r w:rsidRPr="002A062D">
          <w:rPr>
            <w:rStyle w:val="Hypertextovodkaz"/>
            <w:noProof/>
          </w:rPr>
          <w:t xml:space="preserve">Graf 5 Hospodaření důchodového systému od roku 2007 </w:t>
        </w:r>
        <w:r w:rsidRPr="002A062D">
          <w:rPr>
            <w:rStyle w:val="Hypertextovodkaz"/>
            <w:i/>
            <w:noProof/>
          </w:rPr>
          <w:t>(v mld. Kč)</w:t>
        </w:r>
        <w:r>
          <w:rPr>
            <w:noProof/>
            <w:webHidden/>
          </w:rPr>
          <w:tab/>
        </w:r>
        <w:r>
          <w:rPr>
            <w:noProof/>
            <w:webHidden/>
          </w:rPr>
          <w:fldChar w:fldCharType="begin"/>
        </w:r>
        <w:r>
          <w:rPr>
            <w:noProof/>
            <w:webHidden/>
          </w:rPr>
          <w:instrText xml:space="preserve"> PAGEREF _Toc239067914 \h </w:instrText>
        </w:r>
        <w:r>
          <w:rPr>
            <w:noProof/>
            <w:webHidden/>
          </w:rPr>
        </w:r>
        <w:r>
          <w:rPr>
            <w:noProof/>
            <w:webHidden/>
          </w:rPr>
          <w:fldChar w:fldCharType="separate"/>
        </w:r>
        <w:r>
          <w:rPr>
            <w:noProof/>
            <w:webHidden/>
          </w:rPr>
          <w:t>16</w:t>
        </w:r>
        <w:r>
          <w:rPr>
            <w:noProof/>
            <w:webHidden/>
          </w:rPr>
          <w:fldChar w:fldCharType="end"/>
        </w:r>
      </w:hyperlink>
    </w:p>
    <w:p w14:paraId="6C7D5229" w14:textId="42601F8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5" w:history="1">
        <w:r w:rsidRPr="002A062D">
          <w:rPr>
            <w:rStyle w:val="Hypertextovodkaz"/>
            <w:noProof/>
          </w:rPr>
          <w:t xml:space="preserve">Graf 6 Struktura celkových výdajů státního rozpočtu bez EU/FM a úč. oper. PRV </w:t>
        </w:r>
        <w:r w:rsidRPr="002A062D">
          <w:rPr>
            <w:rStyle w:val="Hypertextovodkaz"/>
            <w:i/>
            <w:noProof/>
          </w:rPr>
          <w:t>(v mld. Kč)</w:t>
        </w:r>
        <w:r>
          <w:rPr>
            <w:noProof/>
            <w:webHidden/>
          </w:rPr>
          <w:tab/>
        </w:r>
        <w:r>
          <w:rPr>
            <w:noProof/>
            <w:webHidden/>
          </w:rPr>
          <w:fldChar w:fldCharType="begin"/>
        </w:r>
        <w:r>
          <w:rPr>
            <w:noProof/>
            <w:webHidden/>
          </w:rPr>
          <w:instrText xml:space="preserve"> PAGEREF _Toc239067915 \h </w:instrText>
        </w:r>
        <w:r>
          <w:rPr>
            <w:noProof/>
            <w:webHidden/>
          </w:rPr>
        </w:r>
        <w:r>
          <w:rPr>
            <w:noProof/>
            <w:webHidden/>
          </w:rPr>
          <w:fldChar w:fldCharType="separate"/>
        </w:r>
        <w:r>
          <w:rPr>
            <w:noProof/>
            <w:webHidden/>
          </w:rPr>
          <w:t>19</w:t>
        </w:r>
        <w:r>
          <w:rPr>
            <w:noProof/>
            <w:webHidden/>
          </w:rPr>
          <w:fldChar w:fldCharType="end"/>
        </w:r>
      </w:hyperlink>
    </w:p>
    <w:p w14:paraId="1EC5E249" w14:textId="1B7C7A9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6" w:history="1">
        <w:r w:rsidRPr="002A062D">
          <w:rPr>
            <w:rStyle w:val="Hypertextovodkaz"/>
            <w:noProof/>
          </w:rPr>
          <w:t xml:space="preserve">Graf 7 Státní rozpočet dle odvětvového členění v letech 2021 až 2027 </w:t>
        </w:r>
        <w:r w:rsidRPr="002A062D">
          <w:rPr>
            <w:rStyle w:val="Hypertextovodkaz"/>
            <w:i/>
            <w:noProof/>
          </w:rPr>
          <w:t>(v % z celkových výdajů státního rozpočtu)</w:t>
        </w:r>
        <w:r>
          <w:rPr>
            <w:noProof/>
            <w:webHidden/>
          </w:rPr>
          <w:tab/>
        </w:r>
        <w:r>
          <w:rPr>
            <w:noProof/>
            <w:webHidden/>
          </w:rPr>
          <w:fldChar w:fldCharType="begin"/>
        </w:r>
        <w:r>
          <w:rPr>
            <w:noProof/>
            <w:webHidden/>
          </w:rPr>
          <w:instrText xml:space="preserve"> PAGEREF _Toc239067916 \h </w:instrText>
        </w:r>
        <w:r>
          <w:rPr>
            <w:noProof/>
            <w:webHidden/>
          </w:rPr>
        </w:r>
        <w:r>
          <w:rPr>
            <w:noProof/>
            <w:webHidden/>
          </w:rPr>
          <w:fldChar w:fldCharType="separate"/>
        </w:r>
        <w:r>
          <w:rPr>
            <w:noProof/>
            <w:webHidden/>
          </w:rPr>
          <w:t>20</w:t>
        </w:r>
        <w:r>
          <w:rPr>
            <w:noProof/>
            <w:webHidden/>
          </w:rPr>
          <w:fldChar w:fldCharType="end"/>
        </w:r>
      </w:hyperlink>
    </w:p>
    <w:p w14:paraId="2886D9DF" w14:textId="3E33807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7" w:history="1">
        <w:r w:rsidRPr="002A062D">
          <w:rPr>
            <w:rStyle w:val="Hypertextovodkaz"/>
            <w:noProof/>
          </w:rPr>
          <w:t xml:space="preserve">Graf 8 Struktura výdajů na služby pro fyzické osoby dle odvětvového členění v letech 2021 až 2027 </w:t>
        </w:r>
        <w:r w:rsidRPr="002A062D">
          <w:rPr>
            <w:rStyle w:val="Hypertextovodkaz"/>
            <w:i/>
            <w:noProof/>
          </w:rPr>
          <w:t>(v % z celkových výdajů státního rozpočtu na služby pro fyzické osoby)</w:t>
        </w:r>
        <w:r>
          <w:rPr>
            <w:noProof/>
            <w:webHidden/>
          </w:rPr>
          <w:tab/>
        </w:r>
        <w:r>
          <w:rPr>
            <w:noProof/>
            <w:webHidden/>
          </w:rPr>
          <w:fldChar w:fldCharType="begin"/>
        </w:r>
        <w:r>
          <w:rPr>
            <w:noProof/>
            <w:webHidden/>
          </w:rPr>
          <w:instrText xml:space="preserve"> PAGEREF _Toc239067917 \h </w:instrText>
        </w:r>
        <w:r>
          <w:rPr>
            <w:noProof/>
            <w:webHidden/>
          </w:rPr>
        </w:r>
        <w:r>
          <w:rPr>
            <w:noProof/>
            <w:webHidden/>
          </w:rPr>
          <w:fldChar w:fldCharType="separate"/>
        </w:r>
        <w:r>
          <w:rPr>
            <w:noProof/>
            <w:webHidden/>
          </w:rPr>
          <w:t>21</w:t>
        </w:r>
        <w:r>
          <w:rPr>
            <w:noProof/>
            <w:webHidden/>
          </w:rPr>
          <w:fldChar w:fldCharType="end"/>
        </w:r>
      </w:hyperlink>
    </w:p>
    <w:p w14:paraId="58610133" w14:textId="67C3F3A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8" w:history="1">
        <w:r w:rsidRPr="002A062D">
          <w:rPr>
            <w:rStyle w:val="Hypertextovodkaz"/>
            <w:noProof/>
          </w:rPr>
          <w:t xml:space="preserve">Graf 9 Struktura výdajů na bezpečnost státu a právní ochranu dle odvětvového členění v letech 2021 až 2027 </w:t>
        </w:r>
        <w:r w:rsidRPr="002A062D">
          <w:rPr>
            <w:rStyle w:val="Hypertextovodkaz"/>
            <w:i/>
            <w:noProof/>
          </w:rPr>
          <w:t>(v % z celkových výdajů státního rozpočtu na bezpečnost státu a právní ochranu)</w:t>
        </w:r>
        <w:r>
          <w:rPr>
            <w:noProof/>
            <w:webHidden/>
          </w:rPr>
          <w:tab/>
        </w:r>
        <w:r>
          <w:rPr>
            <w:noProof/>
            <w:webHidden/>
          </w:rPr>
          <w:fldChar w:fldCharType="begin"/>
        </w:r>
        <w:r>
          <w:rPr>
            <w:noProof/>
            <w:webHidden/>
          </w:rPr>
          <w:instrText xml:space="preserve"> PAGEREF _Toc239067918 \h </w:instrText>
        </w:r>
        <w:r>
          <w:rPr>
            <w:noProof/>
            <w:webHidden/>
          </w:rPr>
        </w:r>
        <w:r>
          <w:rPr>
            <w:noProof/>
            <w:webHidden/>
          </w:rPr>
          <w:fldChar w:fldCharType="separate"/>
        </w:r>
        <w:r>
          <w:rPr>
            <w:noProof/>
            <w:webHidden/>
          </w:rPr>
          <w:t>22</w:t>
        </w:r>
        <w:r>
          <w:rPr>
            <w:noProof/>
            <w:webHidden/>
          </w:rPr>
          <w:fldChar w:fldCharType="end"/>
        </w:r>
      </w:hyperlink>
    </w:p>
    <w:p w14:paraId="1C77DC6B" w14:textId="66777314"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19" w:history="1">
        <w:r w:rsidRPr="002A062D">
          <w:rPr>
            <w:rStyle w:val="Hypertextovodkaz"/>
            <w:noProof/>
          </w:rPr>
          <w:t xml:space="preserve">Graf 10 Struktura výdajů na všeobecnou veřejnou správu a služby dle odvětvového členění v letech 2021 až 2027 </w:t>
        </w:r>
        <w:r w:rsidRPr="002A062D">
          <w:rPr>
            <w:rStyle w:val="Hypertextovodkaz"/>
            <w:i/>
            <w:noProof/>
          </w:rPr>
          <w:t>(v % z celkových výdajů státního rozpočtu na všeobecnou veřejnou správu a služby)</w:t>
        </w:r>
        <w:r>
          <w:rPr>
            <w:noProof/>
            <w:webHidden/>
          </w:rPr>
          <w:tab/>
        </w:r>
        <w:r>
          <w:rPr>
            <w:noProof/>
            <w:webHidden/>
          </w:rPr>
          <w:fldChar w:fldCharType="begin"/>
        </w:r>
        <w:r>
          <w:rPr>
            <w:noProof/>
            <w:webHidden/>
          </w:rPr>
          <w:instrText xml:space="preserve"> PAGEREF _Toc239067919 \h </w:instrText>
        </w:r>
        <w:r>
          <w:rPr>
            <w:noProof/>
            <w:webHidden/>
          </w:rPr>
        </w:r>
        <w:r>
          <w:rPr>
            <w:noProof/>
            <w:webHidden/>
          </w:rPr>
          <w:fldChar w:fldCharType="separate"/>
        </w:r>
        <w:r>
          <w:rPr>
            <w:noProof/>
            <w:webHidden/>
          </w:rPr>
          <w:t>23</w:t>
        </w:r>
        <w:r>
          <w:rPr>
            <w:noProof/>
            <w:webHidden/>
          </w:rPr>
          <w:fldChar w:fldCharType="end"/>
        </w:r>
      </w:hyperlink>
    </w:p>
    <w:p w14:paraId="3D4FB503" w14:textId="402DFEA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0" w:history="1">
        <w:r w:rsidRPr="002A062D">
          <w:rPr>
            <w:rStyle w:val="Hypertextovodkaz"/>
            <w:noProof/>
          </w:rPr>
          <w:t xml:space="preserve">Graf 11 Vývoj kapitálových výdajů </w:t>
        </w:r>
        <w:r w:rsidRPr="002A062D">
          <w:rPr>
            <w:rStyle w:val="Hypertextovodkaz"/>
            <w:i/>
            <w:noProof/>
          </w:rPr>
          <w:t>(v mld. Kč a v %)</w:t>
        </w:r>
        <w:r>
          <w:rPr>
            <w:noProof/>
            <w:webHidden/>
          </w:rPr>
          <w:tab/>
        </w:r>
        <w:r>
          <w:rPr>
            <w:noProof/>
            <w:webHidden/>
          </w:rPr>
          <w:fldChar w:fldCharType="begin"/>
        </w:r>
        <w:r>
          <w:rPr>
            <w:noProof/>
            <w:webHidden/>
          </w:rPr>
          <w:instrText xml:space="preserve"> PAGEREF _Toc239067920 \h </w:instrText>
        </w:r>
        <w:r>
          <w:rPr>
            <w:noProof/>
            <w:webHidden/>
          </w:rPr>
        </w:r>
        <w:r>
          <w:rPr>
            <w:noProof/>
            <w:webHidden/>
          </w:rPr>
          <w:fldChar w:fldCharType="separate"/>
        </w:r>
        <w:r>
          <w:rPr>
            <w:noProof/>
            <w:webHidden/>
          </w:rPr>
          <w:t>24</w:t>
        </w:r>
        <w:r>
          <w:rPr>
            <w:noProof/>
            <w:webHidden/>
          </w:rPr>
          <w:fldChar w:fldCharType="end"/>
        </w:r>
      </w:hyperlink>
    </w:p>
    <w:p w14:paraId="35DFFA26" w14:textId="4E04B6AC"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1" w:history="1">
        <w:r w:rsidRPr="002A062D">
          <w:rPr>
            <w:rStyle w:val="Hypertextovodkaz"/>
            <w:noProof/>
          </w:rPr>
          <w:t xml:space="preserve">Graf 12 Vývoj základních ukazatelů státního rozpočtu bez EU/FM a úč. oper. v rámci PRV </w:t>
        </w:r>
        <w:r w:rsidRPr="002A062D">
          <w:rPr>
            <w:rStyle w:val="Hypertextovodkaz"/>
            <w:i/>
            <w:noProof/>
          </w:rPr>
          <w:t>(v mld. Kč)</w:t>
        </w:r>
        <w:r>
          <w:rPr>
            <w:noProof/>
            <w:webHidden/>
          </w:rPr>
          <w:tab/>
        </w:r>
        <w:r>
          <w:rPr>
            <w:noProof/>
            <w:webHidden/>
          </w:rPr>
          <w:fldChar w:fldCharType="begin"/>
        </w:r>
        <w:r>
          <w:rPr>
            <w:noProof/>
            <w:webHidden/>
          </w:rPr>
          <w:instrText xml:space="preserve"> PAGEREF _Toc239067921 \h </w:instrText>
        </w:r>
        <w:r>
          <w:rPr>
            <w:noProof/>
            <w:webHidden/>
          </w:rPr>
        </w:r>
        <w:r>
          <w:rPr>
            <w:noProof/>
            <w:webHidden/>
          </w:rPr>
          <w:fldChar w:fldCharType="separate"/>
        </w:r>
        <w:r>
          <w:rPr>
            <w:noProof/>
            <w:webHidden/>
          </w:rPr>
          <w:t>25</w:t>
        </w:r>
        <w:r>
          <w:rPr>
            <w:noProof/>
            <w:webHidden/>
          </w:rPr>
          <w:fldChar w:fldCharType="end"/>
        </w:r>
      </w:hyperlink>
    </w:p>
    <w:p w14:paraId="6C8C5746" w14:textId="3A0F068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2" w:history="1">
        <w:r w:rsidRPr="002A062D">
          <w:rPr>
            <w:rStyle w:val="Hypertextovodkaz"/>
            <w:noProof/>
          </w:rPr>
          <w:t xml:space="preserve">Graf 13 Vývoj podílu mandatorních výdajů na celkových příjmech státního rozpočtu bez EU/FM/PRV </w:t>
        </w:r>
        <w:r w:rsidRPr="002A062D">
          <w:rPr>
            <w:rStyle w:val="Hypertextovodkaz"/>
            <w:i/>
            <w:noProof/>
          </w:rPr>
          <w:t>(v %)</w:t>
        </w:r>
        <w:r>
          <w:rPr>
            <w:noProof/>
            <w:webHidden/>
          </w:rPr>
          <w:tab/>
        </w:r>
        <w:r>
          <w:rPr>
            <w:noProof/>
            <w:webHidden/>
          </w:rPr>
          <w:fldChar w:fldCharType="begin"/>
        </w:r>
        <w:r>
          <w:rPr>
            <w:noProof/>
            <w:webHidden/>
          </w:rPr>
          <w:instrText xml:space="preserve"> PAGEREF _Toc239067922 \h </w:instrText>
        </w:r>
        <w:r>
          <w:rPr>
            <w:noProof/>
            <w:webHidden/>
          </w:rPr>
        </w:r>
        <w:r>
          <w:rPr>
            <w:noProof/>
            <w:webHidden/>
          </w:rPr>
          <w:fldChar w:fldCharType="separate"/>
        </w:r>
        <w:r>
          <w:rPr>
            <w:noProof/>
            <w:webHidden/>
          </w:rPr>
          <w:t>26</w:t>
        </w:r>
        <w:r>
          <w:rPr>
            <w:noProof/>
            <w:webHidden/>
          </w:rPr>
          <w:fldChar w:fldCharType="end"/>
        </w:r>
      </w:hyperlink>
    </w:p>
    <w:p w14:paraId="5EFCFF9B" w14:textId="0BA5ED4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3" w:history="1">
        <w:r w:rsidRPr="002A062D">
          <w:rPr>
            <w:rStyle w:val="Hypertextovodkaz"/>
            <w:noProof/>
          </w:rPr>
          <w:t xml:space="preserve">Graf 14 Vývoj podílu mandatorních výdajů na celkových výdajích státního rozpočtu bez EU/FM a úč. oper. PRV </w:t>
        </w:r>
        <w:r w:rsidRPr="002A062D">
          <w:rPr>
            <w:rStyle w:val="Hypertextovodkaz"/>
            <w:i/>
            <w:noProof/>
          </w:rPr>
          <w:t>(v %)</w:t>
        </w:r>
        <w:r>
          <w:rPr>
            <w:noProof/>
            <w:webHidden/>
          </w:rPr>
          <w:tab/>
        </w:r>
        <w:r>
          <w:rPr>
            <w:noProof/>
            <w:webHidden/>
          </w:rPr>
          <w:fldChar w:fldCharType="begin"/>
        </w:r>
        <w:r>
          <w:rPr>
            <w:noProof/>
            <w:webHidden/>
          </w:rPr>
          <w:instrText xml:space="preserve"> PAGEREF _Toc239067923 \h </w:instrText>
        </w:r>
        <w:r>
          <w:rPr>
            <w:noProof/>
            <w:webHidden/>
          </w:rPr>
        </w:r>
        <w:r>
          <w:rPr>
            <w:noProof/>
            <w:webHidden/>
          </w:rPr>
          <w:fldChar w:fldCharType="separate"/>
        </w:r>
        <w:r>
          <w:rPr>
            <w:noProof/>
            <w:webHidden/>
          </w:rPr>
          <w:t>27</w:t>
        </w:r>
        <w:r>
          <w:rPr>
            <w:noProof/>
            <w:webHidden/>
          </w:rPr>
          <w:fldChar w:fldCharType="end"/>
        </w:r>
      </w:hyperlink>
    </w:p>
    <w:p w14:paraId="2AE6BBCB" w14:textId="3D9F78A7"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4" w:history="1">
        <w:r w:rsidRPr="002A062D">
          <w:rPr>
            <w:rStyle w:val="Hypertextovodkaz"/>
            <w:noProof/>
          </w:rPr>
          <w:t>Graf 15 Změna počtu míst zaměstnanců mezi roky 2026 a 2027</w:t>
        </w:r>
        <w:r>
          <w:rPr>
            <w:noProof/>
            <w:webHidden/>
          </w:rPr>
          <w:tab/>
        </w:r>
        <w:r>
          <w:rPr>
            <w:noProof/>
            <w:webHidden/>
          </w:rPr>
          <w:fldChar w:fldCharType="begin"/>
        </w:r>
        <w:r>
          <w:rPr>
            <w:noProof/>
            <w:webHidden/>
          </w:rPr>
          <w:instrText xml:space="preserve"> PAGEREF _Toc239067924 \h </w:instrText>
        </w:r>
        <w:r>
          <w:rPr>
            <w:noProof/>
            <w:webHidden/>
          </w:rPr>
        </w:r>
        <w:r>
          <w:rPr>
            <w:noProof/>
            <w:webHidden/>
          </w:rPr>
          <w:fldChar w:fldCharType="separate"/>
        </w:r>
        <w:r>
          <w:rPr>
            <w:noProof/>
            <w:webHidden/>
          </w:rPr>
          <w:t>31</w:t>
        </w:r>
        <w:r>
          <w:rPr>
            <w:noProof/>
            <w:webHidden/>
          </w:rPr>
          <w:fldChar w:fldCharType="end"/>
        </w:r>
      </w:hyperlink>
    </w:p>
    <w:p w14:paraId="70BF3675" w14:textId="39D6889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5" w:history="1">
        <w:r w:rsidRPr="002A062D">
          <w:rPr>
            <w:rStyle w:val="Hypertextovodkaz"/>
            <w:noProof/>
          </w:rPr>
          <w:t>Graf 16 Počty míst a objemy prostředků na platy a ostatní platby za provedenou práci v roce 2027 (vč. EU/FM)</w:t>
        </w:r>
        <w:r>
          <w:rPr>
            <w:noProof/>
            <w:webHidden/>
          </w:rPr>
          <w:tab/>
        </w:r>
        <w:r>
          <w:rPr>
            <w:noProof/>
            <w:webHidden/>
          </w:rPr>
          <w:fldChar w:fldCharType="begin"/>
        </w:r>
        <w:r>
          <w:rPr>
            <w:noProof/>
            <w:webHidden/>
          </w:rPr>
          <w:instrText xml:space="preserve"> PAGEREF _Toc239067925 \h </w:instrText>
        </w:r>
        <w:r>
          <w:rPr>
            <w:noProof/>
            <w:webHidden/>
          </w:rPr>
        </w:r>
        <w:r>
          <w:rPr>
            <w:noProof/>
            <w:webHidden/>
          </w:rPr>
          <w:fldChar w:fldCharType="separate"/>
        </w:r>
        <w:r>
          <w:rPr>
            <w:noProof/>
            <w:webHidden/>
          </w:rPr>
          <w:t>33</w:t>
        </w:r>
        <w:r>
          <w:rPr>
            <w:noProof/>
            <w:webHidden/>
          </w:rPr>
          <w:fldChar w:fldCharType="end"/>
        </w:r>
      </w:hyperlink>
    </w:p>
    <w:p w14:paraId="72990CEE" w14:textId="02A8AE2E"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6" w:history="1">
        <w:r w:rsidRPr="002A062D">
          <w:rPr>
            <w:rStyle w:val="Hypertextovodkaz"/>
            <w:noProof/>
          </w:rPr>
          <w:t>Graf 17 Průměrné rozpočtované platy a průměrné rozpočtované peněžní příjmy vybraných kategorií zaměstnanců (zahrnuta valorizace u učitelů a částečně vojáků) – vývoj od roku 2022</w:t>
        </w:r>
        <w:r>
          <w:rPr>
            <w:noProof/>
            <w:webHidden/>
          </w:rPr>
          <w:tab/>
        </w:r>
        <w:r>
          <w:rPr>
            <w:noProof/>
            <w:webHidden/>
          </w:rPr>
          <w:fldChar w:fldCharType="begin"/>
        </w:r>
        <w:r>
          <w:rPr>
            <w:noProof/>
            <w:webHidden/>
          </w:rPr>
          <w:instrText xml:space="preserve"> PAGEREF _Toc239067926 \h </w:instrText>
        </w:r>
        <w:r>
          <w:rPr>
            <w:noProof/>
            <w:webHidden/>
          </w:rPr>
        </w:r>
        <w:r>
          <w:rPr>
            <w:noProof/>
            <w:webHidden/>
          </w:rPr>
          <w:fldChar w:fldCharType="separate"/>
        </w:r>
        <w:r>
          <w:rPr>
            <w:noProof/>
            <w:webHidden/>
          </w:rPr>
          <w:t>38</w:t>
        </w:r>
        <w:r>
          <w:rPr>
            <w:noProof/>
            <w:webHidden/>
          </w:rPr>
          <w:fldChar w:fldCharType="end"/>
        </w:r>
      </w:hyperlink>
    </w:p>
    <w:p w14:paraId="7491EBFC" w14:textId="4A7ADB2E"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7" w:history="1">
        <w:r w:rsidRPr="002A062D">
          <w:rPr>
            <w:rStyle w:val="Hypertextovodkaz"/>
            <w:noProof/>
          </w:rPr>
          <w:t xml:space="preserve">Graf 18 Druhová struktura užších běžných výdajů ve státním rozpočtu v letech 2022 až 2027 </w:t>
        </w:r>
        <w:r w:rsidRPr="002A062D">
          <w:rPr>
            <w:rStyle w:val="Hypertextovodkaz"/>
            <w:i/>
            <w:iCs/>
            <w:noProof/>
          </w:rPr>
          <w:t>(v % z užších běžných výdajů celkem)</w:t>
        </w:r>
        <w:r>
          <w:rPr>
            <w:noProof/>
            <w:webHidden/>
          </w:rPr>
          <w:tab/>
        </w:r>
        <w:r>
          <w:rPr>
            <w:noProof/>
            <w:webHidden/>
          </w:rPr>
          <w:fldChar w:fldCharType="begin"/>
        </w:r>
        <w:r>
          <w:rPr>
            <w:noProof/>
            <w:webHidden/>
          </w:rPr>
          <w:instrText xml:space="preserve"> PAGEREF _Toc239067927 \h </w:instrText>
        </w:r>
        <w:r>
          <w:rPr>
            <w:noProof/>
            <w:webHidden/>
          </w:rPr>
        </w:r>
        <w:r>
          <w:rPr>
            <w:noProof/>
            <w:webHidden/>
          </w:rPr>
          <w:fldChar w:fldCharType="separate"/>
        </w:r>
        <w:r>
          <w:rPr>
            <w:noProof/>
            <w:webHidden/>
          </w:rPr>
          <w:t>40</w:t>
        </w:r>
        <w:r>
          <w:rPr>
            <w:noProof/>
            <w:webHidden/>
          </w:rPr>
          <w:fldChar w:fldCharType="end"/>
        </w:r>
      </w:hyperlink>
    </w:p>
    <w:p w14:paraId="1D17278C" w14:textId="746A379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8" w:history="1">
        <w:r w:rsidRPr="002A062D">
          <w:rPr>
            <w:rStyle w:val="Hypertextovodkaz"/>
            <w:noProof/>
          </w:rPr>
          <w:t>Graf 19 Podíl jednotlivých kapitol na celkovém objemu užších běžných výdajů v letech 2022 až 2027</w:t>
        </w:r>
        <w:r w:rsidRPr="002A062D">
          <w:rPr>
            <w:rStyle w:val="Hypertextovodkaz"/>
            <w:i/>
            <w:iCs/>
            <w:noProof/>
          </w:rPr>
          <w:t xml:space="preserve"> (v % z celkového objemu užších běžných výdajů)</w:t>
        </w:r>
        <w:r>
          <w:rPr>
            <w:noProof/>
            <w:webHidden/>
          </w:rPr>
          <w:tab/>
        </w:r>
        <w:r>
          <w:rPr>
            <w:noProof/>
            <w:webHidden/>
          </w:rPr>
          <w:fldChar w:fldCharType="begin"/>
        </w:r>
        <w:r>
          <w:rPr>
            <w:noProof/>
            <w:webHidden/>
          </w:rPr>
          <w:instrText xml:space="preserve"> PAGEREF _Toc239067928 \h </w:instrText>
        </w:r>
        <w:r>
          <w:rPr>
            <w:noProof/>
            <w:webHidden/>
          </w:rPr>
        </w:r>
        <w:r>
          <w:rPr>
            <w:noProof/>
            <w:webHidden/>
          </w:rPr>
          <w:fldChar w:fldCharType="separate"/>
        </w:r>
        <w:r>
          <w:rPr>
            <w:noProof/>
            <w:webHidden/>
          </w:rPr>
          <w:t>43</w:t>
        </w:r>
        <w:r>
          <w:rPr>
            <w:noProof/>
            <w:webHidden/>
          </w:rPr>
          <w:fldChar w:fldCharType="end"/>
        </w:r>
      </w:hyperlink>
    </w:p>
    <w:p w14:paraId="1C54E939" w14:textId="16DC1757"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29" w:history="1">
        <w:r w:rsidRPr="002A062D">
          <w:rPr>
            <w:rStyle w:val="Hypertextovodkaz"/>
            <w:noProof/>
          </w:rPr>
          <w:t xml:space="preserve">Graf 20 Transfery celkem neziskovým a podobným organizacím </w:t>
        </w:r>
        <w:r w:rsidRPr="002A062D">
          <w:rPr>
            <w:rStyle w:val="Hypertextovodkaz"/>
            <w:i/>
            <w:iCs/>
            <w:noProof/>
          </w:rPr>
          <w:t>(v % z celkových transferů neziskovým a podobným organizacím)</w:t>
        </w:r>
        <w:r>
          <w:rPr>
            <w:noProof/>
            <w:webHidden/>
          </w:rPr>
          <w:tab/>
        </w:r>
        <w:r>
          <w:rPr>
            <w:noProof/>
            <w:webHidden/>
          </w:rPr>
          <w:fldChar w:fldCharType="begin"/>
        </w:r>
        <w:r>
          <w:rPr>
            <w:noProof/>
            <w:webHidden/>
          </w:rPr>
          <w:instrText xml:space="preserve"> PAGEREF _Toc239067929 \h </w:instrText>
        </w:r>
        <w:r>
          <w:rPr>
            <w:noProof/>
            <w:webHidden/>
          </w:rPr>
        </w:r>
        <w:r>
          <w:rPr>
            <w:noProof/>
            <w:webHidden/>
          </w:rPr>
          <w:fldChar w:fldCharType="separate"/>
        </w:r>
        <w:r>
          <w:rPr>
            <w:noProof/>
            <w:webHidden/>
          </w:rPr>
          <w:t>48</w:t>
        </w:r>
        <w:r>
          <w:rPr>
            <w:noProof/>
            <w:webHidden/>
          </w:rPr>
          <w:fldChar w:fldCharType="end"/>
        </w:r>
      </w:hyperlink>
    </w:p>
    <w:p w14:paraId="0083EE80" w14:textId="619C28A1"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0" w:history="1">
        <w:r w:rsidRPr="002A062D">
          <w:rPr>
            <w:rStyle w:val="Hypertextovodkaz"/>
            <w:noProof/>
          </w:rPr>
          <w:t xml:space="preserve">Graf 21 Rozdělení výdajů na výzkum, vývoj, inovace a transfer znalostí dle institucionální, účelové a systémové podpory a výdajů krytých zahraničními zdroji </w:t>
        </w:r>
        <w:r w:rsidRPr="002A062D">
          <w:rPr>
            <w:rStyle w:val="Hypertextovodkaz"/>
            <w:i/>
            <w:noProof/>
          </w:rPr>
          <w:t>(v mld. Kč)</w:t>
        </w:r>
        <w:r>
          <w:rPr>
            <w:noProof/>
            <w:webHidden/>
          </w:rPr>
          <w:tab/>
        </w:r>
        <w:r>
          <w:rPr>
            <w:noProof/>
            <w:webHidden/>
          </w:rPr>
          <w:fldChar w:fldCharType="begin"/>
        </w:r>
        <w:r>
          <w:rPr>
            <w:noProof/>
            <w:webHidden/>
          </w:rPr>
          <w:instrText xml:space="preserve"> PAGEREF _Toc239067930 \h </w:instrText>
        </w:r>
        <w:r>
          <w:rPr>
            <w:noProof/>
            <w:webHidden/>
          </w:rPr>
        </w:r>
        <w:r>
          <w:rPr>
            <w:noProof/>
            <w:webHidden/>
          </w:rPr>
          <w:fldChar w:fldCharType="separate"/>
        </w:r>
        <w:r>
          <w:rPr>
            <w:noProof/>
            <w:webHidden/>
          </w:rPr>
          <w:t>52</w:t>
        </w:r>
        <w:r>
          <w:rPr>
            <w:noProof/>
            <w:webHidden/>
          </w:rPr>
          <w:fldChar w:fldCharType="end"/>
        </w:r>
      </w:hyperlink>
    </w:p>
    <w:p w14:paraId="60616037" w14:textId="3EC6C8A3"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1" w:history="1">
        <w:r w:rsidRPr="002A062D">
          <w:rPr>
            <w:rStyle w:val="Hypertextovodkaz"/>
            <w:noProof/>
          </w:rPr>
          <w:t>Graf 22 Vývoj státního dluhu a jeho podílu na HDP</w:t>
        </w:r>
        <w:r>
          <w:rPr>
            <w:noProof/>
            <w:webHidden/>
          </w:rPr>
          <w:tab/>
        </w:r>
        <w:r>
          <w:rPr>
            <w:noProof/>
            <w:webHidden/>
          </w:rPr>
          <w:fldChar w:fldCharType="begin"/>
        </w:r>
        <w:r>
          <w:rPr>
            <w:noProof/>
            <w:webHidden/>
          </w:rPr>
          <w:instrText xml:space="preserve"> PAGEREF _Toc239067931 \h </w:instrText>
        </w:r>
        <w:r>
          <w:rPr>
            <w:noProof/>
            <w:webHidden/>
          </w:rPr>
        </w:r>
        <w:r>
          <w:rPr>
            <w:noProof/>
            <w:webHidden/>
          </w:rPr>
          <w:fldChar w:fldCharType="separate"/>
        </w:r>
        <w:r>
          <w:rPr>
            <w:noProof/>
            <w:webHidden/>
          </w:rPr>
          <w:t>63</w:t>
        </w:r>
        <w:r>
          <w:rPr>
            <w:noProof/>
            <w:webHidden/>
          </w:rPr>
          <w:fldChar w:fldCharType="end"/>
        </w:r>
      </w:hyperlink>
    </w:p>
    <w:p w14:paraId="12B51545" w14:textId="44EFD179"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2" w:history="1">
        <w:r w:rsidRPr="002A062D">
          <w:rPr>
            <w:rStyle w:val="Hypertextovodkaz"/>
            <w:noProof/>
          </w:rPr>
          <w:t xml:space="preserve">Graf 23 Splatnostní profil státního dluhu </w:t>
        </w:r>
        <w:r w:rsidRPr="002A062D">
          <w:rPr>
            <w:rStyle w:val="Hypertextovodkaz"/>
            <w:i/>
            <w:noProof/>
          </w:rPr>
          <w:t>(v mld. Kč)</w:t>
        </w:r>
        <w:r>
          <w:rPr>
            <w:noProof/>
            <w:webHidden/>
          </w:rPr>
          <w:tab/>
        </w:r>
        <w:r>
          <w:rPr>
            <w:noProof/>
            <w:webHidden/>
          </w:rPr>
          <w:fldChar w:fldCharType="begin"/>
        </w:r>
        <w:r>
          <w:rPr>
            <w:noProof/>
            <w:webHidden/>
          </w:rPr>
          <w:instrText xml:space="preserve"> PAGEREF _Toc239067932 \h </w:instrText>
        </w:r>
        <w:r>
          <w:rPr>
            <w:noProof/>
            <w:webHidden/>
          </w:rPr>
        </w:r>
        <w:r>
          <w:rPr>
            <w:noProof/>
            <w:webHidden/>
          </w:rPr>
          <w:fldChar w:fldCharType="separate"/>
        </w:r>
        <w:r>
          <w:rPr>
            <w:noProof/>
            <w:webHidden/>
          </w:rPr>
          <w:t>63</w:t>
        </w:r>
        <w:r>
          <w:rPr>
            <w:noProof/>
            <w:webHidden/>
          </w:rPr>
          <w:fldChar w:fldCharType="end"/>
        </w:r>
      </w:hyperlink>
    </w:p>
    <w:p w14:paraId="47FDBD9A" w14:textId="2A0A7A02"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3" w:history="1">
        <w:r w:rsidRPr="002A062D">
          <w:rPr>
            <w:rStyle w:val="Hypertextovodkaz"/>
            <w:noProof/>
          </w:rPr>
          <w:t xml:space="preserve">Graf 24 Vývoj výnosů státních dluhopisů a měnově-politické sazby ČNB </w:t>
        </w:r>
        <w:r w:rsidRPr="002A062D">
          <w:rPr>
            <w:rStyle w:val="Hypertextovodkaz"/>
            <w:i/>
            <w:iCs/>
            <w:noProof/>
          </w:rPr>
          <w:t>(v % p. a.)</w:t>
        </w:r>
        <w:r>
          <w:rPr>
            <w:noProof/>
            <w:webHidden/>
          </w:rPr>
          <w:tab/>
        </w:r>
        <w:r>
          <w:rPr>
            <w:noProof/>
            <w:webHidden/>
          </w:rPr>
          <w:fldChar w:fldCharType="begin"/>
        </w:r>
        <w:r>
          <w:rPr>
            <w:noProof/>
            <w:webHidden/>
          </w:rPr>
          <w:instrText xml:space="preserve"> PAGEREF _Toc239067933 \h </w:instrText>
        </w:r>
        <w:r>
          <w:rPr>
            <w:noProof/>
            <w:webHidden/>
          </w:rPr>
        </w:r>
        <w:r>
          <w:rPr>
            <w:noProof/>
            <w:webHidden/>
          </w:rPr>
          <w:fldChar w:fldCharType="separate"/>
        </w:r>
        <w:r>
          <w:rPr>
            <w:noProof/>
            <w:webHidden/>
          </w:rPr>
          <w:t>64</w:t>
        </w:r>
        <w:r>
          <w:rPr>
            <w:noProof/>
            <w:webHidden/>
          </w:rPr>
          <w:fldChar w:fldCharType="end"/>
        </w:r>
      </w:hyperlink>
    </w:p>
    <w:p w14:paraId="6C5F85FF" w14:textId="25B9B148"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4" w:history="1">
        <w:r w:rsidRPr="002A062D">
          <w:rPr>
            <w:rStyle w:val="Hypertextovodkaz"/>
            <w:noProof/>
          </w:rPr>
          <w:t xml:space="preserve">Graf 25 Vývoj čisté pozice ČR vůči rozpočtu EU </w:t>
        </w:r>
        <w:r w:rsidRPr="002A062D">
          <w:rPr>
            <w:rStyle w:val="Hypertextovodkaz"/>
            <w:i/>
            <w:noProof/>
          </w:rPr>
          <w:t>(v mld. Kč)</w:t>
        </w:r>
        <w:r>
          <w:rPr>
            <w:noProof/>
            <w:webHidden/>
          </w:rPr>
          <w:tab/>
        </w:r>
        <w:r>
          <w:rPr>
            <w:noProof/>
            <w:webHidden/>
          </w:rPr>
          <w:fldChar w:fldCharType="begin"/>
        </w:r>
        <w:r>
          <w:rPr>
            <w:noProof/>
            <w:webHidden/>
          </w:rPr>
          <w:instrText xml:space="preserve"> PAGEREF _Toc239067934 \h </w:instrText>
        </w:r>
        <w:r>
          <w:rPr>
            <w:noProof/>
            <w:webHidden/>
          </w:rPr>
        </w:r>
        <w:r>
          <w:rPr>
            <w:noProof/>
            <w:webHidden/>
          </w:rPr>
          <w:fldChar w:fldCharType="separate"/>
        </w:r>
        <w:r>
          <w:rPr>
            <w:noProof/>
            <w:webHidden/>
          </w:rPr>
          <w:t>67</w:t>
        </w:r>
        <w:r>
          <w:rPr>
            <w:noProof/>
            <w:webHidden/>
          </w:rPr>
          <w:fldChar w:fldCharType="end"/>
        </w:r>
      </w:hyperlink>
    </w:p>
    <w:p w14:paraId="27A48BAA" w14:textId="38ED49E6" w:rsidR="00344480" w:rsidRDefault="00344480">
      <w:pPr>
        <w:pStyle w:val="Seznamobrzk"/>
        <w:rPr>
          <w:rFonts w:asciiTheme="minorHAnsi" w:eastAsiaTheme="minorEastAsia" w:hAnsiTheme="minorHAnsi" w:cstheme="minorBidi"/>
          <w:noProof/>
          <w:kern w:val="2"/>
          <w:sz w:val="24"/>
          <w:szCs w:val="24"/>
          <w14:ligatures w14:val="standardContextual"/>
        </w:rPr>
      </w:pPr>
      <w:hyperlink w:anchor="_Toc239067935" w:history="1">
        <w:r w:rsidRPr="002A062D">
          <w:rPr>
            <w:rStyle w:val="Hypertextovodkaz"/>
            <w:noProof/>
          </w:rPr>
          <w:t xml:space="preserve">Graf 26 Přehled o programech/projektech EU (vč. podílu SR) v roce 2027 </w:t>
        </w:r>
        <w:r w:rsidRPr="002A062D">
          <w:rPr>
            <w:rStyle w:val="Hypertextovodkaz"/>
            <w:i/>
            <w:noProof/>
          </w:rPr>
          <w:t>(v mil. Kč)</w:t>
        </w:r>
        <w:r>
          <w:rPr>
            <w:noProof/>
            <w:webHidden/>
          </w:rPr>
          <w:tab/>
        </w:r>
        <w:r>
          <w:rPr>
            <w:noProof/>
            <w:webHidden/>
          </w:rPr>
          <w:fldChar w:fldCharType="begin"/>
        </w:r>
        <w:r>
          <w:rPr>
            <w:noProof/>
            <w:webHidden/>
          </w:rPr>
          <w:instrText xml:space="preserve"> PAGEREF _Toc239067935 \h </w:instrText>
        </w:r>
        <w:r>
          <w:rPr>
            <w:noProof/>
            <w:webHidden/>
          </w:rPr>
        </w:r>
        <w:r>
          <w:rPr>
            <w:noProof/>
            <w:webHidden/>
          </w:rPr>
          <w:fldChar w:fldCharType="separate"/>
        </w:r>
        <w:r>
          <w:rPr>
            <w:noProof/>
            <w:webHidden/>
          </w:rPr>
          <w:t>70</w:t>
        </w:r>
        <w:r>
          <w:rPr>
            <w:noProof/>
            <w:webHidden/>
          </w:rPr>
          <w:fldChar w:fldCharType="end"/>
        </w:r>
      </w:hyperlink>
    </w:p>
    <w:p w14:paraId="1258B317" w14:textId="6E8EAE54" w:rsidR="00877BE7" w:rsidRPr="00972808" w:rsidRDefault="00E55932" w:rsidP="003A4138">
      <w:pPr>
        <w:pStyle w:val="Seznamobrzk"/>
        <w:rPr>
          <w:b/>
        </w:rPr>
      </w:pPr>
      <w:r w:rsidRPr="00972808">
        <w:rPr>
          <w:b/>
        </w:rPr>
        <w:fldChar w:fldCharType="end"/>
      </w:r>
    </w:p>
    <w:p w14:paraId="6FDB30CD" w14:textId="77777777" w:rsidR="003A4138" w:rsidRPr="00972808" w:rsidRDefault="003A4138" w:rsidP="003A4138"/>
    <w:p w14:paraId="46EC1232" w14:textId="77777777" w:rsidR="003A4138" w:rsidRPr="00972808" w:rsidRDefault="003A4138" w:rsidP="003A4138"/>
    <w:p w14:paraId="6982ED64" w14:textId="77777777" w:rsidR="003A4138" w:rsidRPr="00972808" w:rsidRDefault="003A4138" w:rsidP="003A4138">
      <w:pPr>
        <w:sectPr w:rsidR="003A4138" w:rsidRPr="00972808" w:rsidSect="00F20071">
          <w:footerReference w:type="even" r:id="rId10"/>
          <w:footerReference w:type="first" r:id="rId11"/>
          <w:type w:val="oddPage"/>
          <w:pgSz w:w="11906" w:h="16838"/>
          <w:pgMar w:top="1134" w:right="1134" w:bottom="1134" w:left="1134" w:header="709" w:footer="709" w:gutter="0"/>
          <w:pgNumType w:start="0"/>
          <w:cols w:space="708"/>
          <w:titlePg/>
          <w:docGrid w:linePitch="360"/>
        </w:sectPr>
      </w:pPr>
    </w:p>
    <w:p w14:paraId="5ED9FE60" w14:textId="17686D49" w:rsidR="00830CB1" w:rsidRPr="00972808" w:rsidRDefault="00830CB1" w:rsidP="007866E6">
      <w:pPr>
        <w:pStyle w:val="SRNadpis1"/>
      </w:pPr>
      <w:bookmarkStart w:id="0" w:name="_Toc52369837"/>
      <w:bookmarkStart w:id="1" w:name="_Toc206730426"/>
      <w:bookmarkStart w:id="2" w:name="_Toc238787317"/>
      <w:bookmarkStart w:id="3" w:name="_Toc239042731"/>
      <w:bookmarkStart w:id="4" w:name="_Toc239056360"/>
      <w:bookmarkStart w:id="5" w:name="_Toc239056398"/>
      <w:bookmarkStart w:id="6" w:name="_Toc525714686"/>
      <w:bookmarkStart w:id="7" w:name="_Toc239067802"/>
      <w:r w:rsidRPr="00972808">
        <w:lastRenderedPageBreak/>
        <w:t>Východiska a priority státního rozpočtu na rok 202</w:t>
      </w:r>
      <w:bookmarkEnd w:id="0"/>
      <w:r w:rsidR="00F95438" w:rsidRPr="00972808">
        <w:t>7</w:t>
      </w:r>
      <w:bookmarkEnd w:id="7"/>
    </w:p>
    <w:p w14:paraId="6C009C0A" w14:textId="77777777" w:rsidR="00830CB1" w:rsidRPr="00972808" w:rsidRDefault="00830CB1" w:rsidP="00D06E57">
      <w:pPr>
        <w:pStyle w:val="SRNadpis2"/>
      </w:pPr>
      <w:bookmarkStart w:id="8" w:name="_Toc52369839"/>
      <w:bookmarkStart w:id="9" w:name="_Toc239067803"/>
      <w:r w:rsidRPr="00972808">
        <w:t>Východiska</w:t>
      </w:r>
      <w:bookmarkEnd w:id="8"/>
      <w:bookmarkEnd w:id="9"/>
    </w:p>
    <w:p w14:paraId="353D189A" w14:textId="4607D6BE" w:rsidR="008D1396" w:rsidRPr="00972808" w:rsidRDefault="008D1396" w:rsidP="00344F6B">
      <w:pPr>
        <w:pStyle w:val="SROdrka1"/>
      </w:pPr>
      <w:r w:rsidRPr="00972808">
        <w:t>Makroekono</w:t>
      </w:r>
      <w:r w:rsidR="008D73D4" w:rsidRPr="00972808">
        <w:t xml:space="preserve">mická predikce České republiky </w:t>
      </w:r>
      <w:r w:rsidRPr="00972808">
        <w:t>zpracovaná Ministerstvem financí v </w:t>
      </w:r>
      <w:r w:rsidR="00F95438" w:rsidRPr="00972808">
        <w:t>srpnu</w:t>
      </w:r>
      <w:r w:rsidR="00A43EFB" w:rsidRPr="00972808">
        <w:t xml:space="preserve"> 202</w:t>
      </w:r>
      <w:r w:rsidR="00F60B99" w:rsidRPr="00972808">
        <w:t>6</w:t>
      </w:r>
    </w:p>
    <w:p w14:paraId="634A41F8" w14:textId="65CF800D" w:rsidR="00865D4E" w:rsidRPr="00972808" w:rsidRDefault="00865D4E" w:rsidP="00344F6B">
      <w:pPr>
        <w:pStyle w:val="SROdrka1"/>
      </w:pPr>
      <w:r w:rsidRPr="00972808">
        <w:t>Rozpočtová strategie sektoru veřejných institucí České republiky na léta 2027 až 2029 vydaná Ministerstvem financí v dubnu 2026</w:t>
      </w:r>
      <w:r w:rsidR="00972808">
        <w:t xml:space="preserve"> a schválená vládou usnesením č. 264 ze dne 27. dubna 2026</w:t>
      </w:r>
    </w:p>
    <w:p w14:paraId="7EB369A9" w14:textId="2EBF50B1" w:rsidR="00F95438" w:rsidRPr="00972808" w:rsidRDefault="00344F6B" w:rsidP="00344F6B">
      <w:pPr>
        <w:pStyle w:val="SROdrka1"/>
      </w:pPr>
      <w:r w:rsidRPr="00972808">
        <w:t>Fiskálně-strukturální plán České republiky pro období 2027 až 2030 schválený vládou dne 22. června 2026</w:t>
      </w:r>
    </w:p>
    <w:p w14:paraId="0E801CB2" w14:textId="129EE0CF" w:rsidR="00065D4E" w:rsidRPr="00972808" w:rsidRDefault="00065D4E" w:rsidP="000D440D">
      <w:pPr>
        <w:pStyle w:val="SRTitulek1"/>
      </w:pPr>
      <w:bookmarkStart w:id="10" w:name="_Ref207186999"/>
      <w:bookmarkStart w:id="11" w:name="_Toc80263994"/>
      <w:bookmarkStart w:id="12" w:name="_Toc239067870"/>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w:t>
      </w:r>
      <w:r w:rsidR="00391DA8" w:rsidRPr="00972808">
        <w:rPr>
          <w:noProof/>
        </w:rPr>
        <w:fldChar w:fldCharType="end"/>
      </w:r>
      <w:bookmarkEnd w:id="10"/>
      <w:r w:rsidRPr="00972808">
        <w:t xml:space="preserve"> Predikce základních makroekonomických indikátorů</w:t>
      </w:r>
      <w:bookmarkEnd w:id="11"/>
      <w:bookmarkEnd w:id="12"/>
      <w:r w:rsidR="00647782" w:rsidRPr="00972808">
        <w:t xml:space="preserve"> </w:t>
      </w:r>
    </w:p>
    <w:p w14:paraId="63D98086" w14:textId="60CEBD1E" w:rsidR="00E36FA5" w:rsidRPr="00972808" w:rsidRDefault="0092387B" w:rsidP="00093D21">
      <w:pPr>
        <w:pStyle w:val="SRTextnomal"/>
      </w:pPr>
      <w:r w:rsidRPr="00972808">
        <w:rPr>
          <w:noProof/>
        </w:rPr>
        <w:drawing>
          <wp:inline distT="0" distB="0" distL="0" distR="0" wp14:anchorId="74ABE112" wp14:editId="4926822B">
            <wp:extent cx="6115050" cy="383817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483" cy="3845973"/>
                    </a:xfrm>
                    <a:prstGeom prst="rect">
                      <a:avLst/>
                    </a:prstGeom>
                    <a:noFill/>
                    <a:ln>
                      <a:noFill/>
                    </a:ln>
                  </pic:spPr>
                </pic:pic>
              </a:graphicData>
            </a:graphic>
          </wp:inline>
        </w:drawing>
      </w:r>
    </w:p>
    <w:p w14:paraId="3A740EFB" w14:textId="137D9F83" w:rsidR="008520B4" w:rsidRPr="00972808" w:rsidRDefault="008520B4" w:rsidP="008520B4">
      <w:pPr>
        <w:pStyle w:val="SRPoznmkaazdroj"/>
      </w:pPr>
      <w:r w:rsidRPr="00972808">
        <w:t>Pozn.: Makroekonomická predikce MF z</w:t>
      </w:r>
      <w:r w:rsidR="00F95438" w:rsidRPr="00972808">
        <w:t>e srpna</w:t>
      </w:r>
      <w:r w:rsidRPr="00972808">
        <w:t xml:space="preserve"> 2026</w:t>
      </w:r>
    </w:p>
    <w:p w14:paraId="744A0A15" w14:textId="19A55DA7" w:rsidR="009F163E" w:rsidRPr="00972808" w:rsidRDefault="00F95438" w:rsidP="0092387B">
      <w:pPr>
        <w:pStyle w:val="SRNadpis2"/>
      </w:pPr>
      <w:bookmarkStart w:id="13" w:name="_Toc239067804"/>
      <w:r w:rsidRPr="00972808">
        <w:t>Rozpočtové priority návrhu státního rozpočtu na rok 2027</w:t>
      </w:r>
      <w:bookmarkEnd w:id="13"/>
      <w:r w:rsidR="00C87C4B" w:rsidRPr="00972808">
        <w:t xml:space="preserve"> </w:t>
      </w:r>
    </w:p>
    <w:p w14:paraId="2D42C1AE" w14:textId="77777777" w:rsidR="00AF2D5B" w:rsidRPr="00972808" w:rsidRDefault="00AF2D5B" w:rsidP="00344F6B">
      <w:pPr>
        <w:pStyle w:val="SROdrka1"/>
        <w:rPr>
          <w:b/>
          <w:bCs/>
        </w:rPr>
      </w:pPr>
      <w:r w:rsidRPr="00972808">
        <w:rPr>
          <w:b/>
          <w:bCs/>
        </w:rPr>
        <w:t>INVESTICE</w:t>
      </w:r>
    </w:p>
    <w:p w14:paraId="6545BBC8" w14:textId="36CD832A" w:rsidR="00E25FDA" w:rsidRPr="00972808" w:rsidRDefault="0092387B" w:rsidP="00AF2D5B">
      <w:pPr>
        <w:pStyle w:val="SRTextnomal"/>
      </w:pPr>
      <w:r w:rsidRPr="00972808">
        <w:t xml:space="preserve">Rekordní výší kapitálových výdajů </w:t>
      </w:r>
      <w:r w:rsidR="008A38E7" w:rsidRPr="00972808">
        <w:t>bude zajištěna</w:t>
      </w:r>
      <w:r w:rsidRPr="00972808">
        <w:t xml:space="preserve"> </w:t>
      </w:r>
      <w:r w:rsidR="00AF2D5B" w:rsidRPr="00972808">
        <w:t>plynul</w:t>
      </w:r>
      <w:r w:rsidR="008A38E7" w:rsidRPr="00972808">
        <w:t>á</w:t>
      </w:r>
      <w:r w:rsidR="00AF2D5B" w:rsidRPr="00972808">
        <w:t xml:space="preserve"> investiční aktivit</w:t>
      </w:r>
      <w:r w:rsidR="008A38E7" w:rsidRPr="00972808">
        <w:t>a</w:t>
      </w:r>
      <w:r w:rsidR="00AF2D5B" w:rsidRPr="00972808">
        <w:t xml:space="preserve"> zejména v oblasti dopravní infrastruktury nebo obrany a bezpečnosti obyvatelstva.</w:t>
      </w:r>
    </w:p>
    <w:p w14:paraId="6787FE2A" w14:textId="73AB8A3A" w:rsidR="00AF2D5B" w:rsidRPr="00972808" w:rsidRDefault="00AF2D5B" w:rsidP="00344F6B">
      <w:pPr>
        <w:pStyle w:val="SROdrka1"/>
        <w:rPr>
          <w:b/>
          <w:bCs/>
        </w:rPr>
      </w:pPr>
      <w:r w:rsidRPr="00972808">
        <w:rPr>
          <w:b/>
          <w:bCs/>
        </w:rPr>
        <w:t>PODPORA ZDRAVÍ</w:t>
      </w:r>
    </w:p>
    <w:p w14:paraId="652A69B4" w14:textId="4BE60863" w:rsidR="00AF2D5B" w:rsidRPr="00972808" w:rsidRDefault="00AF2D5B" w:rsidP="00AF2D5B">
      <w:pPr>
        <w:pStyle w:val="SRTextnomal"/>
      </w:pPr>
      <w:r w:rsidRPr="00972808">
        <w:t xml:space="preserve">Podpora zdraví se odehrává napříč státním rozpočtem, nejvýznamněji však v oblasti zdravotnictví, kdy dochází </w:t>
      </w:r>
      <w:r w:rsidR="00620793" w:rsidRPr="00972808">
        <w:t xml:space="preserve">i v souvislosti s </w:t>
      </w:r>
      <w:r w:rsidRPr="00972808">
        <w:t>mimořádnou valorizací ke stabilizaci příjmů zdravotního systému. Nemalé prostředky jsou navýšeny do oblasti sportu a v oblasti vzdělávání je kladen důraz na prevenci duševního zdraví</w:t>
      </w:r>
      <w:r w:rsidR="00620793" w:rsidRPr="00972808">
        <w:t xml:space="preserve"> posílením výdajů na podpůrné činnosti ve školství</w:t>
      </w:r>
      <w:r w:rsidRPr="00972808">
        <w:t>.</w:t>
      </w:r>
    </w:p>
    <w:p w14:paraId="129CE68C" w14:textId="23851617" w:rsidR="00AF2D5B" w:rsidRPr="00972808" w:rsidRDefault="00AF2D5B" w:rsidP="00344F6B">
      <w:pPr>
        <w:pStyle w:val="SROdrka1"/>
        <w:rPr>
          <w:b/>
          <w:bCs/>
        </w:rPr>
      </w:pPr>
      <w:r w:rsidRPr="00972808">
        <w:rPr>
          <w:b/>
          <w:bCs/>
        </w:rPr>
        <w:t>FÉROVÉ ODMĚŇOVÁNÍ</w:t>
      </w:r>
    </w:p>
    <w:p w14:paraId="19D508FD" w14:textId="641F7E2C" w:rsidR="00AF2D5B" w:rsidRPr="00972808" w:rsidRDefault="00AF2D5B" w:rsidP="00AF2D5B">
      <w:pPr>
        <w:pStyle w:val="SRTextnomal"/>
      </w:pPr>
      <w:r w:rsidRPr="00972808">
        <w:t xml:space="preserve">Reforma v oblasti odměňování ve veřejných institucích </w:t>
      </w:r>
      <w:r w:rsidR="008A38E7" w:rsidRPr="00972808">
        <w:t>zabezpečí zaručený a předvídatelný způsob odměňování stá</w:t>
      </w:r>
      <w:r w:rsidR="00774C97" w:rsidRPr="00972808">
        <w:t>t</w:t>
      </w:r>
      <w:r w:rsidR="008A38E7" w:rsidRPr="00972808">
        <w:t>ních zaměstnanců.</w:t>
      </w:r>
    </w:p>
    <w:p w14:paraId="2852FA63" w14:textId="667AA226" w:rsidR="00814F5D" w:rsidRPr="00972808" w:rsidRDefault="00E83F81" w:rsidP="007866E6">
      <w:pPr>
        <w:pStyle w:val="SRNadpis1"/>
      </w:pPr>
      <w:bookmarkStart w:id="14" w:name="_Toc52369844"/>
      <w:bookmarkStart w:id="15" w:name="_Toc239067805"/>
      <w:r w:rsidRPr="00972808">
        <w:lastRenderedPageBreak/>
        <w:t>Souhrnné údaje o příjmech, výdajích a saldu státního rozpočtu</w:t>
      </w:r>
      <w:r w:rsidR="00226213" w:rsidRPr="00972808">
        <w:t xml:space="preserve"> </w:t>
      </w:r>
      <w:r w:rsidR="00796906" w:rsidRPr="00972808">
        <w:t xml:space="preserve">na rok </w:t>
      </w:r>
      <w:bookmarkEnd w:id="14"/>
      <w:r w:rsidR="008F1D2E" w:rsidRPr="00972808">
        <w:t>202</w:t>
      </w:r>
      <w:r w:rsidR="00475E6F" w:rsidRPr="00972808">
        <w:t>7</w:t>
      </w:r>
      <w:bookmarkEnd w:id="15"/>
    </w:p>
    <w:p w14:paraId="540CD10D" w14:textId="10785055" w:rsidR="006A314A" w:rsidRPr="00972808" w:rsidRDefault="0031337A" w:rsidP="006A314A">
      <w:pPr>
        <w:pStyle w:val="SRTextnomal"/>
        <w:keepNext/>
      </w:pPr>
      <w:r w:rsidRPr="00972808">
        <w:t>Základní charakteristiky státního rozpočtu na rok 202</w:t>
      </w:r>
      <w:r w:rsidR="00475E6F" w:rsidRPr="00972808">
        <w:t>7</w:t>
      </w:r>
      <w:r w:rsidRPr="00972808">
        <w:t xml:space="preserve"> lze</w:t>
      </w:r>
      <w:r w:rsidR="006A314A" w:rsidRPr="00972808">
        <w:t xml:space="preserve"> </w:t>
      </w:r>
      <w:r w:rsidRPr="00972808">
        <w:t>vyjádřit takto:</w:t>
      </w:r>
    </w:p>
    <w:p w14:paraId="69B23B16" w14:textId="175956D6" w:rsidR="0031337A" w:rsidRPr="00972808" w:rsidRDefault="0031337A" w:rsidP="00344F6B">
      <w:pPr>
        <w:pStyle w:val="SROdrka1"/>
      </w:pPr>
      <w:r w:rsidRPr="00972808">
        <w:rPr>
          <w:b/>
        </w:rPr>
        <w:t xml:space="preserve">příjmy </w:t>
      </w:r>
      <w:r w:rsidRPr="00972808">
        <w:t xml:space="preserve">státního rozpočtu v roce </w:t>
      </w:r>
      <w:r w:rsidR="008F1D2E" w:rsidRPr="00972808">
        <w:t>202</w:t>
      </w:r>
      <w:r w:rsidR="00475E6F" w:rsidRPr="00972808">
        <w:t>7</w:t>
      </w:r>
      <w:r w:rsidRPr="00972808">
        <w:t xml:space="preserve"> dosáhnou výše</w:t>
      </w:r>
      <w:r w:rsidR="00F523F1" w:rsidRPr="00972808">
        <w:t xml:space="preserve"> </w:t>
      </w:r>
      <w:r w:rsidR="00F523F1" w:rsidRPr="00972808">
        <w:rPr>
          <w:b/>
          <w:bCs/>
        </w:rPr>
        <w:t>2</w:t>
      </w:r>
      <w:r w:rsidR="00F523F1" w:rsidRPr="00972808">
        <w:rPr>
          <w:b/>
        </w:rPr>
        <w:t> 189,2</w:t>
      </w:r>
      <w:r w:rsidR="002E75C7" w:rsidRPr="00972808">
        <w:rPr>
          <w:b/>
        </w:rPr>
        <w:t> </w:t>
      </w:r>
      <w:r w:rsidR="0021512D" w:rsidRPr="00972808">
        <w:rPr>
          <w:b/>
        </w:rPr>
        <w:t>ml</w:t>
      </w:r>
      <w:r w:rsidR="006B7DBE" w:rsidRPr="00972808">
        <w:rPr>
          <w:b/>
        </w:rPr>
        <w:t>d. Kč</w:t>
      </w:r>
      <w:r w:rsidR="006B7DBE" w:rsidRPr="00972808">
        <w:t>, což je o</w:t>
      </w:r>
      <w:r w:rsidR="00432A5C" w:rsidRPr="00972808">
        <w:t> </w:t>
      </w:r>
      <w:r w:rsidR="00F523F1" w:rsidRPr="00972808">
        <w:t>71,4</w:t>
      </w:r>
      <w:r w:rsidR="002E75C7" w:rsidRPr="00972808">
        <w:t> </w:t>
      </w:r>
      <w:r w:rsidR="00432A5C" w:rsidRPr="00972808">
        <w:t>mld.</w:t>
      </w:r>
      <w:r w:rsidR="00F25894" w:rsidRPr="00972808">
        <w:t> Kč více</w:t>
      </w:r>
      <w:r w:rsidRPr="00972808">
        <w:t xml:space="preserve"> oproti schválenému rozpočtu na rok 20</w:t>
      </w:r>
      <w:r w:rsidR="008F1D2E" w:rsidRPr="00972808">
        <w:t>2</w:t>
      </w:r>
      <w:r w:rsidR="00475E6F" w:rsidRPr="00972808">
        <w:t>6</w:t>
      </w:r>
      <w:r w:rsidR="006B7DBE" w:rsidRPr="00972808">
        <w:t>;</w:t>
      </w:r>
    </w:p>
    <w:p w14:paraId="75919B6C" w14:textId="510858A2" w:rsidR="0031337A" w:rsidRPr="00972808" w:rsidRDefault="0031337A" w:rsidP="00344F6B">
      <w:pPr>
        <w:pStyle w:val="SROdrka1"/>
      </w:pPr>
      <w:r w:rsidRPr="00972808">
        <w:rPr>
          <w:b/>
        </w:rPr>
        <w:t>výdaje</w:t>
      </w:r>
      <w:r w:rsidRPr="00972808">
        <w:t xml:space="preserve"> státního rozpočtu v roce </w:t>
      </w:r>
      <w:r w:rsidR="008F1D2E" w:rsidRPr="00972808">
        <w:t>202</w:t>
      </w:r>
      <w:r w:rsidR="00475E6F" w:rsidRPr="00972808">
        <w:t>7</w:t>
      </w:r>
      <w:r w:rsidRPr="00972808">
        <w:t xml:space="preserve"> dosáhnou</w:t>
      </w:r>
      <w:r w:rsidR="00F25894" w:rsidRPr="00972808">
        <w:rPr>
          <w:b/>
        </w:rPr>
        <w:t> </w:t>
      </w:r>
      <w:r w:rsidR="00F523F1" w:rsidRPr="00972808">
        <w:rPr>
          <w:b/>
        </w:rPr>
        <w:t>2 578,2</w:t>
      </w:r>
      <w:r w:rsidR="002E75C7" w:rsidRPr="00972808">
        <w:rPr>
          <w:b/>
        </w:rPr>
        <w:t> </w:t>
      </w:r>
      <w:r w:rsidRPr="00972808">
        <w:rPr>
          <w:b/>
        </w:rPr>
        <w:t>mld. Kč</w:t>
      </w:r>
      <w:r w:rsidRPr="00972808">
        <w:t xml:space="preserve">, meziročně se </w:t>
      </w:r>
      <w:r w:rsidR="003F4381" w:rsidRPr="00972808">
        <w:t>zvýší</w:t>
      </w:r>
      <w:r w:rsidR="00760F01" w:rsidRPr="00972808">
        <w:t xml:space="preserve"> </w:t>
      </w:r>
      <w:r w:rsidRPr="00972808">
        <w:t>o</w:t>
      </w:r>
      <w:r w:rsidR="00D23B52" w:rsidRPr="00972808">
        <w:t xml:space="preserve"> </w:t>
      </w:r>
      <w:r w:rsidR="00F523F1" w:rsidRPr="00972808">
        <w:t>150,4</w:t>
      </w:r>
      <w:r w:rsidRPr="00972808">
        <w:t> </w:t>
      </w:r>
      <w:r w:rsidR="006B7DBE" w:rsidRPr="00972808">
        <w:t>mld. Kč;</w:t>
      </w:r>
    </w:p>
    <w:p w14:paraId="1305FD07" w14:textId="4973FADA" w:rsidR="006A314A" w:rsidRPr="00972808" w:rsidRDefault="00F0756B" w:rsidP="00344F6B">
      <w:pPr>
        <w:pStyle w:val="SROdrka1"/>
      </w:pPr>
      <w:r w:rsidRPr="00972808">
        <w:rPr>
          <w:b/>
        </w:rPr>
        <w:t>deficit</w:t>
      </w:r>
      <w:r w:rsidR="0031337A" w:rsidRPr="00972808">
        <w:t xml:space="preserve"> státního rozpočtu v roce </w:t>
      </w:r>
      <w:r w:rsidR="008F1D2E" w:rsidRPr="00972808">
        <w:t>202</w:t>
      </w:r>
      <w:r w:rsidR="00475E6F" w:rsidRPr="00972808">
        <w:t>7</w:t>
      </w:r>
      <w:r w:rsidR="0031337A" w:rsidRPr="00972808">
        <w:t xml:space="preserve"> dosáhne</w:t>
      </w:r>
      <w:r w:rsidR="0062112F" w:rsidRPr="00972808">
        <w:rPr>
          <w:b/>
        </w:rPr>
        <w:t> </w:t>
      </w:r>
      <w:r w:rsidR="00F523F1" w:rsidRPr="00972808">
        <w:rPr>
          <w:b/>
        </w:rPr>
        <w:t>389 </w:t>
      </w:r>
      <w:r w:rsidRPr="00972808">
        <w:rPr>
          <w:b/>
        </w:rPr>
        <w:t>mld. </w:t>
      </w:r>
      <w:r w:rsidR="0031337A" w:rsidRPr="00972808">
        <w:rPr>
          <w:b/>
        </w:rPr>
        <w:t>Kč</w:t>
      </w:r>
      <w:r w:rsidR="00BF135F" w:rsidRPr="00972808">
        <w:t xml:space="preserve">, což </w:t>
      </w:r>
      <w:r w:rsidR="00101862" w:rsidRPr="00972808">
        <w:t>z</w:t>
      </w:r>
      <w:r w:rsidR="004C24E9" w:rsidRPr="00972808">
        <w:t>namená ve srovnání s rokem 202</w:t>
      </w:r>
      <w:r w:rsidR="00475E6F" w:rsidRPr="00972808">
        <w:t>6</w:t>
      </w:r>
      <w:r w:rsidR="00BF135F" w:rsidRPr="00972808">
        <w:t xml:space="preserve"> jeho </w:t>
      </w:r>
      <w:r w:rsidR="002E75C7" w:rsidRPr="00972808">
        <w:t>prohloubení</w:t>
      </w:r>
      <w:r w:rsidR="006A314A" w:rsidRPr="00972808">
        <w:t xml:space="preserve"> o </w:t>
      </w:r>
      <w:r w:rsidR="00F523F1" w:rsidRPr="00972808">
        <w:t>79</w:t>
      </w:r>
      <w:r w:rsidR="006A314A" w:rsidRPr="00972808">
        <w:t> </w:t>
      </w:r>
      <w:r w:rsidR="00BF135F" w:rsidRPr="00972808">
        <w:t>mld. Kč</w:t>
      </w:r>
      <w:r w:rsidR="00EE6945" w:rsidRPr="00972808">
        <w:t>.</w:t>
      </w:r>
      <w:bookmarkStart w:id="16" w:name="_Toc80263997"/>
    </w:p>
    <w:p w14:paraId="281BDD6C" w14:textId="7E8AEEAF" w:rsidR="00432A5C" w:rsidRPr="00972808" w:rsidRDefault="00065D4E" w:rsidP="000D440D">
      <w:pPr>
        <w:pStyle w:val="SRTitulek1"/>
      </w:pPr>
      <w:bookmarkStart w:id="17" w:name="_Toc239067871"/>
      <w:r w:rsidRPr="00972808">
        <w:t xml:space="preserve">Tabulka </w:t>
      </w:r>
      <w:r w:rsidR="004B1633" w:rsidRPr="00972808">
        <w:fldChar w:fldCharType="begin"/>
      </w:r>
      <w:r w:rsidR="004B1633" w:rsidRPr="00972808">
        <w:instrText xml:space="preserve"> SEQ Tabulka \* ARABIC </w:instrText>
      </w:r>
      <w:r w:rsidR="004B1633" w:rsidRPr="00972808">
        <w:fldChar w:fldCharType="separate"/>
      </w:r>
      <w:r w:rsidR="00344480">
        <w:rPr>
          <w:noProof/>
        </w:rPr>
        <w:t>2</w:t>
      </w:r>
      <w:r w:rsidR="004B1633" w:rsidRPr="00972808">
        <w:rPr>
          <w:noProof/>
        </w:rPr>
        <w:fldChar w:fldCharType="end"/>
      </w:r>
      <w:r w:rsidRPr="00972808">
        <w:t xml:space="preserve"> Základní ukazate</w:t>
      </w:r>
      <w:r w:rsidR="003736A1" w:rsidRPr="00972808">
        <w:t xml:space="preserve">le státního rozpočtu </w:t>
      </w:r>
      <w:r w:rsidRPr="00972808">
        <w:rPr>
          <w:i/>
          <w:iCs/>
        </w:rPr>
        <w:t>(v mld. Kč)</w:t>
      </w:r>
      <w:bookmarkEnd w:id="16"/>
      <w:bookmarkEnd w:id="17"/>
    </w:p>
    <w:p w14:paraId="500A3FB7" w14:textId="4F399A04" w:rsidR="00432A5C" w:rsidRPr="00972808" w:rsidRDefault="00105D98" w:rsidP="006227A2">
      <w:pPr>
        <w:pStyle w:val="SRTextnomal"/>
      </w:pPr>
      <w:r w:rsidRPr="00972808">
        <w:rPr>
          <w:noProof/>
        </w:rPr>
        <w:drawing>
          <wp:inline distT="0" distB="0" distL="0" distR="0" wp14:anchorId="413DDCCF" wp14:editId="15297F5D">
            <wp:extent cx="6120130" cy="2215515"/>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2215515"/>
                    </a:xfrm>
                    <a:prstGeom prst="rect">
                      <a:avLst/>
                    </a:prstGeom>
                    <a:noFill/>
                    <a:ln>
                      <a:noFill/>
                    </a:ln>
                  </pic:spPr>
                </pic:pic>
              </a:graphicData>
            </a:graphic>
          </wp:inline>
        </w:drawing>
      </w:r>
    </w:p>
    <w:p w14:paraId="343B3443" w14:textId="77777777" w:rsidR="00432A5C" w:rsidRPr="00972808" w:rsidRDefault="00432A5C" w:rsidP="006227A2">
      <w:pPr>
        <w:pStyle w:val="SRTextnomal"/>
        <w:sectPr w:rsidR="00432A5C" w:rsidRPr="00972808" w:rsidSect="00187B06">
          <w:headerReference w:type="default" r:id="rId14"/>
          <w:footerReference w:type="even" r:id="rId15"/>
          <w:footerReference w:type="default" r:id="rId16"/>
          <w:type w:val="continuous"/>
          <w:pgSz w:w="11906" w:h="16838" w:code="9"/>
          <w:pgMar w:top="1134" w:right="1134" w:bottom="1134" w:left="1134" w:header="709" w:footer="709" w:gutter="0"/>
          <w:cols w:space="397"/>
          <w:docGrid w:linePitch="360"/>
        </w:sectPr>
      </w:pPr>
    </w:p>
    <w:p w14:paraId="581FEC4B" w14:textId="067614AF" w:rsidR="00432A5C" w:rsidRPr="00972808" w:rsidRDefault="0031337A" w:rsidP="000D440D">
      <w:pPr>
        <w:pStyle w:val="SRTitulek1"/>
        <w:rPr>
          <w:i/>
        </w:rPr>
      </w:pPr>
      <w:bookmarkStart w:id="18" w:name="_Toc239067910"/>
      <w:r w:rsidRPr="00972808">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1</w:t>
      </w:r>
      <w:r w:rsidR="00BF4932" w:rsidRPr="00972808">
        <w:fldChar w:fldCharType="end"/>
      </w:r>
      <w:r w:rsidRPr="00972808">
        <w:t xml:space="preserve"> V</w:t>
      </w:r>
      <w:r w:rsidR="003736A1" w:rsidRPr="00972808">
        <w:t>ývoj deficitu státního rozpočtu</w:t>
      </w:r>
      <w:r w:rsidRPr="00972808">
        <w:t xml:space="preserve"> </w:t>
      </w:r>
      <w:r w:rsidR="00443DFD" w:rsidRPr="00972808">
        <w:t>vč. EU/FM</w:t>
      </w:r>
      <w:r w:rsidR="00C70E61" w:rsidRPr="00972808">
        <w:t xml:space="preserve"> a úč. oper. </w:t>
      </w:r>
      <w:r w:rsidR="00443DFD" w:rsidRPr="00972808">
        <w:t xml:space="preserve">PRV </w:t>
      </w:r>
      <w:r w:rsidRPr="00972808">
        <w:rPr>
          <w:i/>
        </w:rPr>
        <w:t>(v mld. Kč)</w:t>
      </w:r>
      <w:bookmarkEnd w:id="18"/>
    </w:p>
    <w:p w14:paraId="5BB8D7CE" w14:textId="6E07BA67" w:rsidR="003566AC" w:rsidRPr="00972808" w:rsidRDefault="00105D98" w:rsidP="006227A2">
      <w:pPr>
        <w:pStyle w:val="SRTextnomal"/>
      </w:pPr>
      <w:r w:rsidRPr="00972808">
        <w:rPr>
          <w:noProof/>
        </w:rPr>
        <w:drawing>
          <wp:inline distT="0" distB="0" distL="0" distR="0" wp14:anchorId="4C71FC92" wp14:editId="25B63B36">
            <wp:extent cx="6008425" cy="3251095"/>
            <wp:effectExtent l="0" t="0" r="0" b="6985"/>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22244" cy="3258572"/>
                    </a:xfrm>
                    <a:prstGeom prst="rect">
                      <a:avLst/>
                    </a:prstGeom>
                    <a:noFill/>
                  </pic:spPr>
                </pic:pic>
              </a:graphicData>
            </a:graphic>
          </wp:inline>
        </w:drawing>
      </w:r>
    </w:p>
    <w:p w14:paraId="5C879642" w14:textId="77777777" w:rsidR="00603744" w:rsidRPr="00972808" w:rsidRDefault="00AC6283" w:rsidP="00F17546">
      <w:pPr>
        <w:pStyle w:val="SRTextnomal"/>
      </w:pPr>
      <w:r w:rsidRPr="00972808">
        <w:br w:type="page"/>
      </w:r>
      <w:r w:rsidR="00603744" w:rsidRPr="00972808">
        <w:lastRenderedPageBreak/>
        <w:t>Vývoj základních parametrů státního rozpočtu bez EU a FM a bez účetních operací P</w:t>
      </w:r>
      <w:r w:rsidR="00164464" w:rsidRPr="00972808">
        <w:t>RV</w:t>
      </w:r>
      <w:r w:rsidR="00603744" w:rsidRPr="00972808">
        <w:t xml:space="preserve"> dokládá následující graf.</w:t>
      </w:r>
    </w:p>
    <w:p w14:paraId="589C47CE" w14:textId="66F8064F" w:rsidR="00603744" w:rsidRPr="00972808" w:rsidRDefault="00603744" w:rsidP="00C70E61">
      <w:pPr>
        <w:pStyle w:val="SRTitulek1"/>
      </w:pPr>
      <w:bookmarkStart w:id="19" w:name="_Toc239067911"/>
      <w:r w:rsidRPr="00972808">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2</w:t>
      </w:r>
      <w:r w:rsidR="00BF4932" w:rsidRPr="00972808">
        <w:fldChar w:fldCharType="end"/>
      </w:r>
      <w:r w:rsidRPr="00972808">
        <w:t xml:space="preserve"> Vývoj základních para</w:t>
      </w:r>
      <w:r w:rsidR="00C70A9A" w:rsidRPr="00972808">
        <w:t>metrů státního rozpočtu bez EU/</w:t>
      </w:r>
      <w:r w:rsidRPr="00972808">
        <w:t>FM</w:t>
      </w:r>
      <w:r w:rsidR="00C70E61" w:rsidRPr="00972808">
        <w:t xml:space="preserve"> a úč. oper. </w:t>
      </w:r>
      <w:r w:rsidR="007F782E" w:rsidRPr="00972808">
        <w:t xml:space="preserve">v rámci </w:t>
      </w:r>
      <w:r w:rsidR="00C70A9A" w:rsidRPr="00972808">
        <w:t>PRV</w:t>
      </w:r>
      <w:r w:rsidRPr="00972808">
        <w:t xml:space="preserve"> </w:t>
      </w:r>
      <w:r w:rsidRPr="00972808">
        <w:rPr>
          <w:i/>
        </w:rPr>
        <w:t>(v mld. Kč)</w:t>
      </w:r>
      <w:bookmarkEnd w:id="19"/>
    </w:p>
    <w:p w14:paraId="6299FF7A" w14:textId="01903608" w:rsidR="00103A41" w:rsidRPr="00972808" w:rsidRDefault="007F782E" w:rsidP="006227A2">
      <w:pPr>
        <w:pStyle w:val="SRTextnomal"/>
      </w:pPr>
      <w:r w:rsidRPr="00972808">
        <w:rPr>
          <w:noProof/>
        </w:rPr>
        <w:drawing>
          <wp:inline distT="0" distB="0" distL="0" distR="0" wp14:anchorId="20432F89" wp14:editId="05422B50">
            <wp:extent cx="6096000" cy="3855232"/>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1487" cy="3871351"/>
                    </a:xfrm>
                    <a:prstGeom prst="rect">
                      <a:avLst/>
                    </a:prstGeom>
                    <a:noFill/>
                  </pic:spPr>
                </pic:pic>
              </a:graphicData>
            </a:graphic>
          </wp:inline>
        </w:drawing>
      </w:r>
    </w:p>
    <w:p w14:paraId="092B0C6B" w14:textId="77777777" w:rsidR="00432A5C" w:rsidRPr="00972808" w:rsidRDefault="00432A5C" w:rsidP="00F17546">
      <w:pPr>
        <w:pStyle w:val="SRTextnomal"/>
      </w:pPr>
    </w:p>
    <w:p w14:paraId="538818A5" w14:textId="6C33778E" w:rsidR="00A32A0E" w:rsidRPr="00972808" w:rsidRDefault="00A32A0E" w:rsidP="00F17546">
      <w:pPr>
        <w:pStyle w:val="SRTextnomal"/>
      </w:pPr>
      <w:r w:rsidRPr="00972808">
        <w:t>Základní charakteristiky státního rozpočtu podle rozpočtové skladby (druhové a odvětvové třídění)</w:t>
      </w:r>
      <w:r w:rsidR="00926AF9" w:rsidRPr="00972808">
        <w:t xml:space="preserve"> </w:t>
      </w:r>
      <w:r w:rsidR="003B6D10" w:rsidRPr="00972808">
        <w:t xml:space="preserve">jsou uvedeny </w:t>
      </w:r>
      <w:r w:rsidR="00BF2B4A" w:rsidRPr="00972808">
        <w:t>v následujících tabulkách (</w:t>
      </w:r>
      <w:r w:rsidR="00BF2B4A" w:rsidRPr="00972808">
        <w:fldChar w:fldCharType="begin"/>
      </w:r>
      <w:r w:rsidR="00BF2B4A" w:rsidRPr="00972808">
        <w:instrText xml:space="preserve"> REF _Ref81296717 \h </w:instrText>
      </w:r>
      <w:r w:rsidR="00FB563C" w:rsidRPr="00972808">
        <w:instrText xml:space="preserve"> \* MERGEFORMAT </w:instrText>
      </w:r>
      <w:r w:rsidR="00BF2B4A" w:rsidRPr="00972808">
        <w:fldChar w:fldCharType="separate"/>
      </w:r>
      <w:r w:rsidR="00344480" w:rsidRPr="00972808">
        <w:t xml:space="preserve">Tabulka </w:t>
      </w:r>
      <w:r w:rsidR="00344480">
        <w:rPr>
          <w:noProof/>
        </w:rPr>
        <w:t>3</w:t>
      </w:r>
      <w:r w:rsidR="00BF2B4A" w:rsidRPr="00972808">
        <w:fldChar w:fldCharType="end"/>
      </w:r>
      <w:r w:rsidR="0056637B" w:rsidRPr="00972808">
        <w:t xml:space="preserve"> a </w:t>
      </w:r>
      <w:r w:rsidR="00BF2B4A" w:rsidRPr="00972808">
        <w:fldChar w:fldCharType="begin"/>
      </w:r>
      <w:r w:rsidR="00BF2B4A" w:rsidRPr="00972808">
        <w:instrText xml:space="preserve"> REF _Ref81296728 \h </w:instrText>
      </w:r>
      <w:r w:rsidR="00FB563C" w:rsidRPr="00972808">
        <w:instrText xml:space="preserve"> \* MERGEFORMAT </w:instrText>
      </w:r>
      <w:r w:rsidR="00BF2B4A" w:rsidRPr="00972808">
        <w:fldChar w:fldCharType="separate"/>
      </w:r>
      <w:r w:rsidR="00344480" w:rsidRPr="00972808">
        <w:t xml:space="preserve">Tabulka </w:t>
      </w:r>
      <w:r w:rsidR="00344480">
        <w:rPr>
          <w:noProof/>
        </w:rPr>
        <w:t>4</w:t>
      </w:r>
      <w:r w:rsidR="00BF2B4A" w:rsidRPr="00972808">
        <w:fldChar w:fldCharType="end"/>
      </w:r>
      <w:r w:rsidR="00BF2B4A" w:rsidRPr="00972808">
        <w:t>)</w:t>
      </w:r>
      <w:r w:rsidRPr="00972808">
        <w:t>.</w:t>
      </w:r>
    </w:p>
    <w:p w14:paraId="27265F7D" w14:textId="77777777" w:rsidR="00F83D22" w:rsidRPr="00972808" w:rsidRDefault="00F83D22" w:rsidP="00F17546">
      <w:pPr>
        <w:pStyle w:val="SRTextnomal"/>
      </w:pPr>
    </w:p>
    <w:p w14:paraId="062A0752" w14:textId="77777777" w:rsidR="00F83D22" w:rsidRPr="00972808" w:rsidRDefault="00F83D22" w:rsidP="00D45477">
      <w:pPr>
        <w:sectPr w:rsidR="00F83D22" w:rsidRPr="00972808" w:rsidSect="00187B06">
          <w:footerReference w:type="even" r:id="rId19"/>
          <w:type w:val="continuous"/>
          <w:pgSz w:w="11906" w:h="16838" w:code="9"/>
          <w:pgMar w:top="1134" w:right="1134" w:bottom="1134" w:left="1134" w:header="709" w:footer="709" w:gutter="0"/>
          <w:cols w:space="397"/>
          <w:docGrid w:linePitch="360"/>
        </w:sectPr>
      </w:pPr>
    </w:p>
    <w:p w14:paraId="15677E27" w14:textId="3896A2C4" w:rsidR="00065D4E" w:rsidRPr="00972808" w:rsidRDefault="00065D4E" w:rsidP="000D440D">
      <w:pPr>
        <w:pStyle w:val="SRTitulek1"/>
        <w:rPr>
          <w:i/>
        </w:rPr>
      </w:pPr>
      <w:bookmarkStart w:id="20" w:name="_Ref81296717"/>
      <w:bookmarkStart w:id="21" w:name="_Toc80263998"/>
      <w:bookmarkStart w:id="22" w:name="_Toc239067872"/>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3</w:t>
      </w:r>
      <w:r w:rsidR="00391DA8" w:rsidRPr="00972808">
        <w:rPr>
          <w:noProof/>
        </w:rPr>
        <w:fldChar w:fldCharType="end"/>
      </w:r>
      <w:bookmarkEnd w:id="20"/>
      <w:r w:rsidRPr="00972808">
        <w:t xml:space="preserve"> Zák</w:t>
      </w:r>
      <w:r w:rsidR="00F23532" w:rsidRPr="00972808">
        <w:t>ladní bilance státního rozpočtu </w:t>
      </w:r>
      <w:r w:rsidR="00F23532" w:rsidRPr="00972808">
        <w:noBreakHyphen/>
        <w:t xml:space="preserve"> druhové třídění </w:t>
      </w:r>
      <w:r w:rsidRPr="00972808">
        <w:rPr>
          <w:i/>
        </w:rPr>
        <w:t>(v mld. Kč)</w:t>
      </w:r>
      <w:bookmarkEnd w:id="21"/>
      <w:bookmarkEnd w:id="22"/>
    </w:p>
    <w:p w14:paraId="3E5F5BD6" w14:textId="5B98DE8B" w:rsidR="003566AC" w:rsidRPr="00972808" w:rsidRDefault="008E1D1A" w:rsidP="006227A2">
      <w:pPr>
        <w:pStyle w:val="SRTextnomal"/>
      </w:pPr>
      <w:r w:rsidRPr="00972808">
        <w:rPr>
          <w:noProof/>
        </w:rPr>
        <w:drawing>
          <wp:inline distT="0" distB="0" distL="0" distR="0" wp14:anchorId="511D9B68" wp14:editId="1BD937EB">
            <wp:extent cx="9251950" cy="5299710"/>
            <wp:effectExtent l="0" t="0" r="635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51950" cy="5299710"/>
                    </a:xfrm>
                    <a:prstGeom prst="rect">
                      <a:avLst/>
                    </a:prstGeom>
                    <a:noFill/>
                    <a:ln>
                      <a:noFill/>
                    </a:ln>
                  </pic:spPr>
                </pic:pic>
              </a:graphicData>
            </a:graphic>
          </wp:inline>
        </w:drawing>
      </w:r>
    </w:p>
    <w:p w14:paraId="6B52E706" w14:textId="77777777" w:rsidR="00F83D22" w:rsidRPr="00972808" w:rsidRDefault="00F83D22" w:rsidP="006227A2">
      <w:pPr>
        <w:pStyle w:val="SRTextnomal"/>
        <w:sectPr w:rsidR="00F83D22" w:rsidRPr="00972808" w:rsidSect="00187B06">
          <w:footerReference w:type="default" r:id="rId21"/>
          <w:pgSz w:w="16838" w:h="11906" w:orient="landscape" w:code="9"/>
          <w:pgMar w:top="1134" w:right="1134" w:bottom="1134" w:left="1134" w:header="709" w:footer="709" w:gutter="0"/>
          <w:cols w:space="397"/>
          <w:docGrid w:linePitch="360"/>
        </w:sectPr>
      </w:pPr>
    </w:p>
    <w:p w14:paraId="6675B98E" w14:textId="113F653A" w:rsidR="00065D4E" w:rsidRPr="00972808" w:rsidRDefault="00065D4E" w:rsidP="000D440D">
      <w:pPr>
        <w:pStyle w:val="SRTitulek1"/>
        <w:rPr>
          <w:i/>
        </w:rPr>
      </w:pPr>
      <w:bookmarkStart w:id="23" w:name="_Ref81296728"/>
      <w:bookmarkStart w:id="24" w:name="_Toc80263999"/>
      <w:bookmarkStart w:id="25" w:name="_Toc239067873"/>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4</w:t>
      </w:r>
      <w:r w:rsidR="00391DA8" w:rsidRPr="00972808">
        <w:rPr>
          <w:noProof/>
        </w:rPr>
        <w:fldChar w:fldCharType="end"/>
      </w:r>
      <w:bookmarkEnd w:id="23"/>
      <w:r w:rsidRPr="00972808">
        <w:t xml:space="preserve"> Odvětvové členění výdajů </w:t>
      </w:r>
      <w:r w:rsidRPr="00972808">
        <w:rPr>
          <w:i/>
        </w:rPr>
        <w:t>(v mld. Kč)</w:t>
      </w:r>
      <w:bookmarkEnd w:id="24"/>
      <w:bookmarkEnd w:id="25"/>
    </w:p>
    <w:p w14:paraId="4D5C5779" w14:textId="3A393020" w:rsidR="004962A9" w:rsidRPr="00972808" w:rsidRDefault="00D20200" w:rsidP="006227A2">
      <w:pPr>
        <w:pStyle w:val="SRTextnomal"/>
      </w:pPr>
      <w:r w:rsidRPr="00972808">
        <w:rPr>
          <w:noProof/>
        </w:rPr>
        <w:drawing>
          <wp:inline distT="0" distB="0" distL="0" distR="0" wp14:anchorId="415E8A76" wp14:editId="6A995296">
            <wp:extent cx="9251950" cy="5358765"/>
            <wp:effectExtent l="0" t="0" r="635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51950" cy="5358765"/>
                    </a:xfrm>
                    <a:prstGeom prst="rect">
                      <a:avLst/>
                    </a:prstGeom>
                    <a:noFill/>
                    <a:ln>
                      <a:noFill/>
                    </a:ln>
                  </pic:spPr>
                </pic:pic>
              </a:graphicData>
            </a:graphic>
          </wp:inline>
        </w:drawing>
      </w:r>
    </w:p>
    <w:p w14:paraId="6A94A375" w14:textId="77777777" w:rsidR="00360F92" w:rsidRPr="00972808" w:rsidRDefault="00360F92" w:rsidP="006227A2">
      <w:pPr>
        <w:pStyle w:val="SRTextnomal"/>
        <w:sectPr w:rsidR="00360F92" w:rsidRPr="00972808" w:rsidSect="00187B06">
          <w:footerReference w:type="default" r:id="rId23"/>
          <w:pgSz w:w="16838" w:h="11906" w:orient="landscape" w:code="9"/>
          <w:pgMar w:top="1134" w:right="1134" w:bottom="1134" w:left="1134" w:header="709" w:footer="709" w:gutter="0"/>
          <w:cols w:space="397"/>
          <w:docGrid w:linePitch="360"/>
        </w:sectPr>
      </w:pPr>
    </w:p>
    <w:p w14:paraId="634FABEC" w14:textId="77777777" w:rsidR="00F13DBA" w:rsidRPr="00972808" w:rsidRDefault="00C657F8" w:rsidP="007866E6">
      <w:pPr>
        <w:pStyle w:val="SRNadpis1"/>
      </w:pPr>
      <w:bookmarkStart w:id="26" w:name="_Toc52369845"/>
      <w:bookmarkStart w:id="27" w:name="_Toc238787318"/>
      <w:bookmarkStart w:id="28" w:name="_Toc239042732"/>
      <w:bookmarkStart w:id="29" w:name="_Toc239056361"/>
      <w:bookmarkStart w:id="30" w:name="_Toc239056399"/>
      <w:bookmarkStart w:id="31" w:name="_Toc525714687"/>
      <w:bookmarkStart w:id="32" w:name="_Toc239067806"/>
      <w:bookmarkEnd w:id="1"/>
      <w:bookmarkEnd w:id="2"/>
      <w:bookmarkEnd w:id="3"/>
      <w:bookmarkEnd w:id="4"/>
      <w:bookmarkEnd w:id="5"/>
      <w:bookmarkEnd w:id="6"/>
      <w:r w:rsidRPr="00972808">
        <w:lastRenderedPageBreak/>
        <w:t>Detailní pohled na příjmy</w:t>
      </w:r>
      <w:bookmarkEnd w:id="26"/>
      <w:bookmarkEnd w:id="32"/>
    </w:p>
    <w:p w14:paraId="5B103FB8" w14:textId="77777777" w:rsidR="001B3775" w:rsidRPr="00972808" w:rsidRDefault="001B3775" w:rsidP="00F17546">
      <w:pPr>
        <w:pStyle w:val="SRTextnomal"/>
        <w:sectPr w:rsidR="001B3775" w:rsidRPr="00972808" w:rsidSect="009E08ED">
          <w:footerReference w:type="even" r:id="rId24"/>
          <w:footerReference w:type="default" r:id="rId25"/>
          <w:type w:val="continuous"/>
          <w:pgSz w:w="11906" w:h="16838" w:code="9"/>
          <w:pgMar w:top="1134" w:right="1134" w:bottom="1134" w:left="1134" w:header="709" w:footer="709" w:gutter="0"/>
          <w:cols w:space="397"/>
          <w:docGrid w:linePitch="360"/>
        </w:sectPr>
      </w:pPr>
    </w:p>
    <w:p w14:paraId="1F85A994" w14:textId="77777777" w:rsidR="00D671E2" w:rsidRPr="00972808" w:rsidRDefault="00EF13F5" w:rsidP="00F17546">
      <w:pPr>
        <w:pStyle w:val="SRTextnomal"/>
      </w:pPr>
      <w:r w:rsidRPr="00972808">
        <w:t xml:space="preserve">Ve státním rozpočtu na rok </w:t>
      </w:r>
      <w:r w:rsidR="008F1D2E" w:rsidRPr="00972808">
        <w:t>202</w:t>
      </w:r>
      <w:r w:rsidR="00475E6F" w:rsidRPr="00972808">
        <w:t>7</w:t>
      </w:r>
      <w:r w:rsidRPr="00972808">
        <w:t xml:space="preserve"> by celkové rozpočtov</w:t>
      </w:r>
      <w:r w:rsidR="00D671E2" w:rsidRPr="00972808">
        <w:t>an</w:t>
      </w:r>
      <w:r w:rsidR="00343653" w:rsidRPr="00972808">
        <w:t>é příjmy měly dosáhnout objemu</w:t>
      </w:r>
      <w:r w:rsidR="003F4381" w:rsidRPr="00972808">
        <w:rPr>
          <w:b/>
        </w:rPr>
        <w:t> </w:t>
      </w:r>
      <w:r w:rsidR="007D7781" w:rsidRPr="00972808">
        <w:rPr>
          <w:b/>
        </w:rPr>
        <w:t>2 189,2</w:t>
      </w:r>
      <w:r w:rsidR="00DA18AE" w:rsidRPr="00972808">
        <w:rPr>
          <w:b/>
        </w:rPr>
        <w:t> </w:t>
      </w:r>
      <w:r w:rsidRPr="00972808">
        <w:rPr>
          <w:b/>
        </w:rPr>
        <w:t>mld. Kč</w:t>
      </w:r>
      <w:r w:rsidR="007D7781" w:rsidRPr="00972808">
        <w:t xml:space="preserve">, což znamená meziroční nárůst o 71,4 mld. Kč. </w:t>
      </w:r>
    </w:p>
    <w:p w14:paraId="761A8645" w14:textId="1FB789D6" w:rsidR="007D7781" w:rsidRPr="00972808" w:rsidRDefault="007D7781" w:rsidP="00F17546">
      <w:pPr>
        <w:pStyle w:val="SRTextnomal"/>
      </w:pPr>
      <w:r w:rsidRPr="00972808">
        <w:t>V rámci celkových příjmů se dále sledují příjmy:</w:t>
      </w:r>
    </w:p>
    <w:p w14:paraId="11AAA0E0" w14:textId="24696C02" w:rsidR="00A72B0C" w:rsidRPr="00972808" w:rsidRDefault="00D671E2" w:rsidP="00344F6B">
      <w:pPr>
        <w:pStyle w:val="SROdrka1"/>
      </w:pPr>
      <w:r w:rsidRPr="00972808">
        <w:t xml:space="preserve">z </w:t>
      </w:r>
      <w:r w:rsidR="00EF13F5" w:rsidRPr="00972808">
        <w:t>rozpočtu E</w:t>
      </w:r>
      <w:r w:rsidR="00A72B0C" w:rsidRPr="00972808">
        <w:t>vropské unie ve výši 105,8 mld. Kč (meziroční pokles o 32,7 mld. Kč),</w:t>
      </w:r>
      <w:r w:rsidR="00EF13F5" w:rsidRPr="00972808">
        <w:t xml:space="preserve"> </w:t>
      </w:r>
    </w:p>
    <w:p w14:paraId="27E3AAB3" w14:textId="47AE73D3" w:rsidR="00A72B0C" w:rsidRPr="00972808" w:rsidRDefault="00D671E2" w:rsidP="00344F6B">
      <w:pPr>
        <w:pStyle w:val="SROdrka1"/>
      </w:pPr>
      <w:r w:rsidRPr="00972808">
        <w:t xml:space="preserve">z </w:t>
      </w:r>
      <w:r w:rsidR="00A72B0C" w:rsidRPr="00972808">
        <w:t xml:space="preserve">finančních mechanismů </w:t>
      </w:r>
      <w:r w:rsidRPr="00972808">
        <w:t>EHP</w:t>
      </w:r>
      <w:r w:rsidR="00AE4539" w:rsidRPr="00972808">
        <w:t xml:space="preserve"> a</w:t>
      </w:r>
      <w:r w:rsidRPr="00972808">
        <w:t xml:space="preserve"> Norska a </w:t>
      </w:r>
      <w:r w:rsidR="00AE4539" w:rsidRPr="00972808">
        <w:t xml:space="preserve">z </w:t>
      </w:r>
      <w:r w:rsidRPr="00972808">
        <w:t xml:space="preserve">Programu švýcarsko-české spolupráce 2 v celkové výši </w:t>
      </w:r>
      <w:r w:rsidR="00A72B0C" w:rsidRPr="00972808">
        <w:t>1 mld. Kč (meziroční nárůst o 284 mil. Kč)</w:t>
      </w:r>
      <w:r w:rsidRPr="00972808">
        <w:t>,</w:t>
      </w:r>
    </w:p>
    <w:p w14:paraId="08687FDB" w14:textId="50649D58" w:rsidR="00EF13F5" w:rsidRPr="00972808" w:rsidRDefault="00D671E2" w:rsidP="00344F6B">
      <w:pPr>
        <w:pStyle w:val="SROdrka1"/>
        <w:rPr>
          <w:b/>
        </w:rPr>
      </w:pPr>
      <w:r w:rsidRPr="00972808">
        <w:t xml:space="preserve">související s </w:t>
      </w:r>
      <w:r w:rsidR="00512B63" w:rsidRPr="00972808">
        <w:t>účetní operací</w:t>
      </w:r>
      <w:r w:rsidRPr="00972808">
        <w:t xml:space="preserve"> v rámci</w:t>
      </w:r>
      <w:r w:rsidR="00512B63" w:rsidRPr="00972808">
        <w:t xml:space="preserve"> PRV </w:t>
      </w:r>
      <w:r w:rsidR="0096187C" w:rsidRPr="00972808">
        <w:t xml:space="preserve">ve výši </w:t>
      </w:r>
      <w:r w:rsidR="00A72B0C" w:rsidRPr="00972808">
        <w:t>1 mld. Kč (meziroční nárůst o 50 mil. Kč)</w:t>
      </w:r>
      <w:r w:rsidR="00EF13F5" w:rsidRPr="00972808">
        <w:t xml:space="preserve">. </w:t>
      </w:r>
    </w:p>
    <w:p w14:paraId="7AFC7897" w14:textId="201B8E87" w:rsidR="00065D4E" w:rsidRPr="00972808" w:rsidRDefault="00065D4E" w:rsidP="000D440D">
      <w:pPr>
        <w:pStyle w:val="SRTitulek1"/>
        <w:rPr>
          <w:i/>
        </w:rPr>
      </w:pPr>
      <w:bookmarkStart w:id="33" w:name="_Toc80264000"/>
      <w:bookmarkStart w:id="34" w:name="_Toc239067874"/>
      <w:r w:rsidRPr="00972808">
        <w:t xml:space="preserve">Tabulka </w:t>
      </w:r>
      <w:r w:rsidR="004B1633" w:rsidRPr="00972808">
        <w:fldChar w:fldCharType="begin"/>
      </w:r>
      <w:r w:rsidR="004B1633" w:rsidRPr="00972808">
        <w:instrText xml:space="preserve"> SEQ Tabulka \* ARABIC </w:instrText>
      </w:r>
      <w:r w:rsidR="004B1633" w:rsidRPr="00972808">
        <w:fldChar w:fldCharType="separate"/>
      </w:r>
      <w:r w:rsidR="00344480">
        <w:rPr>
          <w:noProof/>
        </w:rPr>
        <w:t>5</w:t>
      </w:r>
      <w:r w:rsidR="004B1633" w:rsidRPr="00972808">
        <w:rPr>
          <w:noProof/>
        </w:rPr>
        <w:fldChar w:fldCharType="end"/>
      </w:r>
      <w:r w:rsidRPr="00972808">
        <w:t xml:space="preserve"> Příjmy státního rozpočtu </w:t>
      </w:r>
      <w:r w:rsidRPr="00972808">
        <w:rPr>
          <w:i/>
        </w:rPr>
        <w:t>(v mld. Kč)</w:t>
      </w:r>
      <w:bookmarkEnd w:id="33"/>
      <w:bookmarkEnd w:id="34"/>
    </w:p>
    <w:p w14:paraId="309B0402" w14:textId="79802B4B" w:rsidR="00F82050" w:rsidRPr="00972808" w:rsidRDefault="007D7781" w:rsidP="00E91890">
      <w:pPr>
        <w:pStyle w:val="SRTextnomal"/>
      </w:pPr>
      <w:r w:rsidRPr="00972808">
        <w:rPr>
          <w:noProof/>
        </w:rPr>
        <w:drawing>
          <wp:inline distT="0" distB="0" distL="0" distR="0" wp14:anchorId="5A99A197" wp14:editId="26BCCBCA">
            <wp:extent cx="6120130" cy="1778635"/>
            <wp:effectExtent l="0" t="0" r="0"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1778635"/>
                    </a:xfrm>
                    <a:prstGeom prst="rect">
                      <a:avLst/>
                    </a:prstGeom>
                    <a:noFill/>
                    <a:ln>
                      <a:noFill/>
                    </a:ln>
                  </pic:spPr>
                </pic:pic>
              </a:graphicData>
            </a:graphic>
          </wp:inline>
        </w:drawing>
      </w:r>
    </w:p>
    <w:p w14:paraId="020EC511" w14:textId="4D5E6EE6" w:rsidR="00EF13F5" w:rsidRPr="00972808" w:rsidRDefault="00EF13F5" w:rsidP="00F82050">
      <w:pPr>
        <w:pStyle w:val="SRTitulek1"/>
        <w:rPr>
          <w:i/>
        </w:rPr>
      </w:pPr>
      <w:bookmarkStart w:id="35" w:name="_Toc239067912"/>
      <w:r w:rsidRPr="00972808">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3</w:t>
      </w:r>
      <w:r w:rsidR="00BF4932" w:rsidRPr="00972808">
        <w:fldChar w:fldCharType="end"/>
      </w:r>
      <w:r w:rsidRPr="00972808">
        <w:t xml:space="preserve"> Struktura příjmů státního rozpočtu</w:t>
      </w:r>
      <w:r w:rsidR="00DA18AE" w:rsidRPr="00972808">
        <w:t xml:space="preserve"> a jejich podíl na HDP</w:t>
      </w:r>
      <w:bookmarkEnd w:id="35"/>
    </w:p>
    <w:p w14:paraId="6DEC1590" w14:textId="5F0BD3E3" w:rsidR="00163836" w:rsidRPr="00972808" w:rsidRDefault="00C63B31" w:rsidP="00952886">
      <w:pPr>
        <w:pStyle w:val="SRTextnomal"/>
      </w:pPr>
      <w:bookmarkStart w:id="36" w:name="_Toc52369846"/>
      <w:bookmarkEnd w:id="27"/>
      <w:bookmarkEnd w:id="28"/>
      <w:bookmarkEnd w:id="29"/>
      <w:bookmarkEnd w:id="30"/>
      <w:bookmarkEnd w:id="31"/>
      <w:r w:rsidRPr="00972808">
        <w:rPr>
          <w:noProof/>
        </w:rPr>
        <w:drawing>
          <wp:inline distT="0" distB="0" distL="0" distR="0" wp14:anchorId="10D34BC8" wp14:editId="5780DA43">
            <wp:extent cx="6214985" cy="291465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37621" cy="2925266"/>
                    </a:xfrm>
                    <a:prstGeom prst="rect">
                      <a:avLst/>
                    </a:prstGeom>
                    <a:noFill/>
                  </pic:spPr>
                </pic:pic>
              </a:graphicData>
            </a:graphic>
          </wp:inline>
        </w:drawing>
      </w:r>
    </w:p>
    <w:p w14:paraId="45E1972D" w14:textId="13D95A3C" w:rsidR="00DA18AE" w:rsidRPr="00972808" w:rsidRDefault="00DA18AE" w:rsidP="00DA18AE">
      <w:pPr>
        <w:pStyle w:val="SRPoznmkaazdroj"/>
      </w:pPr>
      <w:r w:rsidRPr="00972808">
        <w:t>Pozn. HDP podle makroekonomické predikce MF z</w:t>
      </w:r>
      <w:r w:rsidR="00D654C2" w:rsidRPr="00972808">
        <w:t>e srpna</w:t>
      </w:r>
      <w:r w:rsidRPr="00972808">
        <w:t xml:space="preserve"> 202</w:t>
      </w:r>
      <w:r w:rsidR="005D3839" w:rsidRPr="00972808">
        <w:t>6</w:t>
      </w:r>
    </w:p>
    <w:p w14:paraId="3239C526" w14:textId="56107131" w:rsidR="005D3839" w:rsidRPr="00972808" w:rsidRDefault="002E694D" w:rsidP="007525CA">
      <w:pPr>
        <w:pStyle w:val="SRTextnomal"/>
        <w:rPr>
          <w:lang w:eastAsia="en-US"/>
        </w:rPr>
      </w:pPr>
      <w:r w:rsidRPr="00972808">
        <w:rPr>
          <w:lang w:eastAsia="en-US"/>
        </w:rPr>
        <w:t>Podíl celkových příjmů na HDP vykazuje od roku 2023 sestupný trend</w:t>
      </w:r>
      <w:r w:rsidR="00E00C61" w:rsidRPr="00972808">
        <w:rPr>
          <w:lang w:eastAsia="en-US"/>
        </w:rPr>
        <w:t xml:space="preserve">. Nedaňové a ostatní příjmy v roce 2027 klesají, což je dáno </w:t>
      </w:r>
      <w:r w:rsidR="007525CA" w:rsidRPr="00972808">
        <w:rPr>
          <w:lang w:eastAsia="en-US"/>
        </w:rPr>
        <w:t xml:space="preserve">jednak snížením příjmů z rozpočtu EU nebo </w:t>
      </w:r>
      <w:r w:rsidR="00620793" w:rsidRPr="00972808">
        <w:rPr>
          <w:lang w:eastAsia="en-US"/>
        </w:rPr>
        <w:t xml:space="preserve">dočasnou </w:t>
      </w:r>
      <w:r w:rsidR="007525CA" w:rsidRPr="00972808">
        <w:rPr>
          <w:lang w:eastAsia="en-US"/>
        </w:rPr>
        <w:t>absencí</w:t>
      </w:r>
      <w:r w:rsidR="00E00C61" w:rsidRPr="00972808">
        <w:rPr>
          <w:lang w:eastAsia="en-US"/>
        </w:rPr>
        <w:t xml:space="preserve"> příjmů z emisních povolenek</w:t>
      </w:r>
      <w:r w:rsidR="00A028C1" w:rsidRPr="00972808">
        <w:rPr>
          <w:lang w:eastAsia="en-US"/>
        </w:rPr>
        <w:t xml:space="preserve"> rozpočtovaných souvztažně s příslušnými výdaji, </w:t>
      </w:r>
      <w:r w:rsidR="00E00C61" w:rsidRPr="00972808">
        <w:rPr>
          <w:lang w:eastAsia="en-US"/>
        </w:rPr>
        <w:t>které v aktuálním návrhu nejsou dosud zastoupeny a budou doplněny v průběhu září po projednání vládou</w:t>
      </w:r>
      <w:r w:rsidR="00F476E7" w:rsidRPr="00972808">
        <w:rPr>
          <w:lang w:eastAsia="en-US"/>
        </w:rPr>
        <w:t xml:space="preserve"> na základě návrhu Rady pro využití výnosů z dražeb povolenek</w:t>
      </w:r>
      <w:r w:rsidR="00E00C61" w:rsidRPr="00972808">
        <w:rPr>
          <w:lang w:eastAsia="en-US"/>
        </w:rPr>
        <w:t>.</w:t>
      </w:r>
    </w:p>
    <w:p w14:paraId="15042555" w14:textId="2DF85A66" w:rsidR="00922E0A" w:rsidRPr="00972808" w:rsidRDefault="00922E0A" w:rsidP="00922E0A">
      <w:pPr>
        <w:pStyle w:val="SRTitulek1"/>
        <w:rPr>
          <w:i/>
        </w:rPr>
      </w:pPr>
      <w:bookmarkStart w:id="37" w:name="_Toc239067913"/>
      <w:r w:rsidRPr="00972808">
        <w:lastRenderedPageBreak/>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4</w:t>
      </w:r>
      <w:r w:rsidR="00BF4932" w:rsidRPr="00972808">
        <w:fldChar w:fldCharType="end"/>
      </w:r>
      <w:r w:rsidRPr="00972808">
        <w:t xml:space="preserve"> Struktura příjmů státního rozpočtu </w:t>
      </w:r>
      <w:r w:rsidR="00161D98" w:rsidRPr="00972808">
        <w:t>vč. EU/FM/úč. oper. PRV</w:t>
      </w:r>
      <w:r w:rsidR="004876BB" w:rsidRPr="00972808">
        <w:t xml:space="preserve"> a jejich podíl na celkových příjmech</w:t>
      </w:r>
      <w:bookmarkEnd w:id="37"/>
    </w:p>
    <w:p w14:paraId="5B18F6A2" w14:textId="40B76D3E" w:rsidR="000C7C53" w:rsidRPr="00972808" w:rsidRDefault="00207C4B" w:rsidP="006227A2">
      <w:pPr>
        <w:pStyle w:val="SRTextnomal"/>
      </w:pPr>
      <w:r w:rsidRPr="00972808">
        <w:rPr>
          <w:noProof/>
        </w:rPr>
        <w:drawing>
          <wp:inline distT="0" distB="0" distL="0" distR="0" wp14:anchorId="1CB049BB" wp14:editId="175CA05D">
            <wp:extent cx="6068842" cy="3736731"/>
            <wp:effectExtent l="0" t="0" r="8255" b="0"/>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04311" cy="3758570"/>
                    </a:xfrm>
                    <a:prstGeom prst="rect">
                      <a:avLst/>
                    </a:prstGeom>
                    <a:noFill/>
                  </pic:spPr>
                </pic:pic>
              </a:graphicData>
            </a:graphic>
          </wp:inline>
        </w:drawing>
      </w:r>
    </w:p>
    <w:p w14:paraId="1090F8A0" w14:textId="77777777" w:rsidR="004B6F11" w:rsidRPr="00972808" w:rsidRDefault="004B6F11" w:rsidP="00E00C61">
      <w:pPr>
        <w:pStyle w:val="SRTextnomal"/>
      </w:pPr>
    </w:p>
    <w:p w14:paraId="37F18062" w14:textId="265FE7AE" w:rsidR="003854FA" w:rsidRPr="00972808" w:rsidRDefault="00E00C61" w:rsidP="00E00C61">
      <w:pPr>
        <w:pStyle w:val="SRTextnomal"/>
      </w:pPr>
      <w:r w:rsidRPr="00972808">
        <w:t>Největší podíl v rámci souboru celkových příjmů státního rozpočtu zaujímají daňové příjmy</w:t>
      </w:r>
      <w:r w:rsidR="004B6F11" w:rsidRPr="00972808">
        <w:t xml:space="preserve"> s 50,2 %, kde nejvýznamnější postavení </w:t>
      </w:r>
      <w:r w:rsidR="00A028C1" w:rsidRPr="00972808">
        <w:t>představují</w:t>
      </w:r>
      <w:r w:rsidR="004B6F11" w:rsidRPr="00972808">
        <w:t xml:space="preserve"> příjmy z DPH</w:t>
      </w:r>
      <w:r w:rsidRPr="00972808">
        <w:t>.</w:t>
      </w:r>
      <w:r w:rsidR="004B6F11" w:rsidRPr="00972808">
        <w:t xml:space="preserve"> U spotřebních a energetických daní je patrný dlouhodobý klesající trend, opačný, tj. rostoucí trend v podílu zastoupení</w:t>
      </w:r>
      <w:r w:rsidR="00A028C1" w:rsidRPr="00972808">
        <w:t>,</w:t>
      </w:r>
      <w:r w:rsidR="004B6F11" w:rsidRPr="00972808">
        <w:t xml:space="preserve"> je pak zřetelný u daně z příjmů fyzických osob. Podíl daně z příjmů právnických osob se vyznačuje meziročními výkyvy, což je způsobeno vlivem zohlednění tzv. windfall tax v </w:t>
      </w:r>
      <w:r w:rsidR="00A028C1" w:rsidRPr="00972808">
        <w:t>předchozích</w:t>
      </w:r>
      <w:r w:rsidR="004B6F11" w:rsidRPr="00972808">
        <w:t xml:space="preserve"> letech. </w:t>
      </w:r>
      <w:r w:rsidR="001460E2" w:rsidRPr="00972808">
        <w:t>Podíl pojistného na sociální zabezpečení dosahuje v roce 2027</w:t>
      </w:r>
      <w:r w:rsidR="007525CA" w:rsidRPr="00972808">
        <w:t xml:space="preserve"> výše 42,2 % na celkových příjmech, což potvrzuje jeho rostoucí </w:t>
      </w:r>
      <w:r w:rsidR="00A028C1" w:rsidRPr="00972808">
        <w:t>podíl</w:t>
      </w:r>
      <w:r w:rsidR="007525CA" w:rsidRPr="00972808">
        <w:t xml:space="preserve"> od roku 2024.</w:t>
      </w:r>
    </w:p>
    <w:p w14:paraId="3862B3F7" w14:textId="77777777" w:rsidR="00510568" w:rsidRPr="00972808" w:rsidRDefault="00C657F8" w:rsidP="00D06E57">
      <w:pPr>
        <w:pStyle w:val="SRNadpis2"/>
      </w:pPr>
      <w:bookmarkStart w:id="38" w:name="_Toc239067807"/>
      <w:r w:rsidRPr="00972808">
        <w:t>Daňové příjmy</w:t>
      </w:r>
      <w:bookmarkEnd w:id="36"/>
      <w:bookmarkEnd w:id="38"/>
    </w:p>
    <w:p w14:paraId="3CDD2BBE" w14:textId="77777777" w:rsidR="00E91890" w:rsidRPr="00972808" w:rsidRDefault="00185692" w:rsidP="00AD317C">
      <w:pPr>
        <w:pStyle w:val="SRNadpis3"/>
      </w:pPr>
      <w:bookmarkStart w:id="39" w:name="_Toc52369847"/>
      <w:bookmarkStart w:id="40" w:name="_Toc239067808"/>
      <w:r w:rsidRPr="00972808">
        <w:t>Vývoj daňové kvóty</w:t>
      </w:r>
      <w:bookmarkEnd w:id="39"/>
      <w:bookmarkEnd w:id="40"/>
    </w:p>
    <w:p w14:paraId="4E06F89B" w14:textId="77777777" w:rsidR="003F0CA2" w:rsidRPr="00972808" w:rsidRDefault="003F0CA2" w:rsidP="003F0CA2">
      <w:pPr>
        <w:pStyle w:val="SRTextnomal"/>
      </w:pPr>
      <w:bookmarkStart w:id="41" w:name="_Toc80264001"/>
      <w:r w:rsidRPr="00972808">
        <w:t>Daňová kvóta je vyjádřena poměrem příjmů z daní a z veřejných pojistných systémů vůči nominálnímu HDP. Definice daňových příjmů a HDP je opřena o metodiku Evropského systému národních a regionálních účtů z roku 2010. Jednotná metodika zajišťuje konzistenci mezi oběma ukazateli. Nedochází tedy ke zkreslení, jaké by například nastalo při poměřování hotovostního inkasa či omezení se pouze na příjmy státního rozpočtu. Příjmy proto zahrnují akruální daňové výnosy včetně povinných odvodů na sociální a zdravotní pojištění či dalších plateb, jakými jsou poplatky za obnovitelné zdroje energie, emisní povolenky nebo poplatky za televizní a rozhlasové vysílání. Naopak ale zde použité příjmy neobsahují platbu za státní pojištěnce, která by daňovou kvótu uměle navyšovala. Akruální princip zajišťuje, že příjmy jsou evidovány v době, kdy nastala příslušná ekonomická skutečnost, která zavdala příčinu zdanění, tedy nikoli v okamžiku, kdy jsou peněžní prostředky přijaty na účet (takto poměřuje příjem metodika hotovostních toků). Taková daňová kvóta je pak tedy nejenom nejkomplexnějším ukazatelem daňového zatížení, ale také mezinárodně srovnatelná a jednotně metodicky interpretovatelná.</w:t>
      </w:r>
    </w:p>
    <w:p w14:paraId="1B87353E" w14:textId="6E920275" w:rsidR="00065D4E" w:rsidRPr="00972808" w:rsidRDefault="00065D4E" w:rsidP="000D440D">
      <w:pPr>
        <w:pStyle w:val="SRTitulek1"/>
      </w:pPr>
      <w:bookmarkStart w:id="42" w:name="_Toc239067875"/>
      <w:r w:rsidRPr="00972808">
        <w:t xml:space="preserve">Tabulka </w:t>
      </w:r>
      <w:r w:rsidR="004B1633" w:rsidRPr="00972808">
        <w:fldChar w:fldCharType="begin"/>
      </w:r>
      <w:r w:rsidR="004B1633" w:rsidRPr="00972808">
        <w:instrText xml:space="preserve"> SEQ Tabulka \* ARABIC </w:instrText>
      </w:r>
      <w:r w:rsidR="004B1633" w:rsidRPr="00972808">
        <w:fldChar w:fldCharType="separate"/>
      </w:r>
      <w:r w:rsidR="00344480">
        <w:rPr>
          <w:noProof/>
        </w:rPr>
        <w:t>6</w:t>
      </w:r>
      <w:r w:rsidR="004B1633" w:rsidRPr="00972808">
        <w:rPr>
          <w:noProof/>
        </w:rPr>
        <w:fldChar w:fldCharType="end"/>
      </w:r>
      <w:r w:rsidRPr="00972808">
        <w:t xml:space="preserve"> Vývoj daňové kvóty</w:t>
      </w:r>
      <w:bookmarkEnd w:id="41"/>
      <w:r w:rsidR="00BE157B" w:rsidRPr="00972808">
        <w:t xml:space="preserve"> </w:t>
      </w:r>
      <w:r w:rsidR="00BE157B" w:rsidRPr="00972808">
        <w:rPr>
          <w:i/>
          <w:iCs/>
        </w:rPr>
        <w:t>(v % HDP)</w:t>
      </w:r>
      <w:bookmarkEnd w:id="42"/>
    </w:p>
    <w:p w14:paraId="798DDB53" w14:textId="786D0917" w:rsidR="0023287B" w:rsidRPr="00972808" w:rsidRDefault="00292C29" w:rsidP="0023287B">
      <w:pPr>
        <w:pStyle w:val="SRTextnomal"/>
      </w:pPr>
      <w:r w:rsidRPr="00972808">
        <w:rPr>
          <w:noProof/>
        </w:rPr>
        <w:drawing>
          <wp:inline distT="0" distB="0" distL="0" distR="0" wp14:anchorId="5E4AFE09" wp14:editId="30B32C2E">
            <wp:extent cx="6040316" cy="682753"/>
            <wp:effectExtent l="0" t="0" r="0" b="317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1344" cy="690782"/>
                    </a:xfrm>
                    <a:prstGeom prst="rect">
                      <a:avLst/>
                    </a:prstGeom>
                    <a:noFill/>
                    <a:ln>
                      <a:noFill/>
                    </a:ln>
                  </pic:spPr>
                </pic:pic>
              </a:graphicData>
            </a:graphic>
          </wp:inline>
        </w:drawing>
      </w:r>
    </w:p>
    <w:p w14:paraId="38693C5C" w14:textId="77777777" w:rsidR="00292C29" w:rsidRPr="00972808" w:rsidRDefault="00292C29" w:rsidP="003F0CA2">
      <w:pPr>
        <w:pStyle w:val="SRTextnomal"/>
      </w:pPr>
      <w:bookmarkStart w:id="43" w:name="_Toc52369848"/>
    </w:p>
    <w:p w14:paraId="5D2741AD" w14:textId="68EF518F" w:rsidR="003F0CA2" w:rsidRPr="00972808" w:rsidRDefault="003F0CA2" w:rsidP="003F0CA2">
      <w:pPr>
        <w:pStyle w:val="SRTextnomal"/>
      </w:pPr>
      <w:r w:rsidRPr="00972808">
        <w:lastRenderedPageBreak/>
        <w:t>V ČR byl vývoj daňového zatížení poměrně stabilní s dlouhodobým průměrem na úrovni těsně pod 33 % HDP. Do roku 2018 kvóta mírně rostla, následně klesala. V letech 2020 a 2021 byla přijata řada opatření více či méně spjatých s reakcí na ekonomické důsledky pandemie a hospodářské recese, jako např. prominutí záloh na pojistných pro podnikatele, zrušení daně z nabytí nemovitých věcí nebo snížení daňového základu u daně z příjmů fyzických osob. Podobně tomu bylo v roce 2022, v roce vypuknutí energetické krize v Evropě, kdy daňová kvóta dále poklesla, mj. z důvodu odpouštění poplatku za obnovitelné zdroje energie pro domácnosti a firmy na konci roku, snížení některých spotřebních daní v reakci na vývoj inflace či dalšího růstu základní slevy na poplatníka. V roce 2023 až 2025 daňovou kvótu ovlivnily mimořádné příjmy, zejména daň z neočekávaných zisků. Souběžně od roku 2024 daňovou kvótu ovlivňují legislativní změny spojené se zákonem č. 349/2023 Sb., kterým se mění některé zákony v souvislosti s konsolidací veřejných rozpočtů, a to jak u daňových příjmů, tak odvodů na sociální pojištění.</w:t>
      </w:r>
      <w:bookmarkStart w:id="44" w:name="_Toc178327562"/>
      <w:r w:rsidRPr="00972808">
        <w:t xml:space="preserve"> To dohromady vedlo k nárůstu daňové kvóty nad úroveň 33 % HDP. Po roce 2025 daňová kvóta klesla pod 33 % HDP a v roce 2027 </w:t>
      </w:r>
      <w:r w:rsidR="00292C29" w:rsidRPr="00972808">
        <w:t>se o</w:t>
      </w:r>
      <w:r w:rsidRPr="00972808">
        <w:t>čeká</w:t>
      </w:r>
      <w:r w:rsidR="00292C29" w:rsidRPr="00972808">
        <w:t>vá</w:t>
      </w:r>
      <w:r w:rsidRPr="00972808">
        <w:t xml:space="preserve"> její úroveň 32,6 % HDP. </w:t>
      </w:r>
    </w:p>
    <w:p w14:paraId="580A4E9E" w14:textId="77777777" w:rsidR="00E91890" w:rsidRPr="00972808" w:rsidRDefault="00185692" w:rsidP="00AD317C">
      <w:pPr>
        <w:pStyle w:val="SRNadpis3"/>
      </w:pPr>
      <w:bookmarkStart w:id="45" w:name="_Toc239067809"/>
      <w:bookmarkEnd w:id="44"/>
      <w:r w:rsidRPr="00972808">
        <w:t>Celková predikce daňových příjmů</w:t>
      </w:r>
      <w:bookmarkEnd w:id="43"/>
      <w:bookmarkEnd w:id="45"/>
    </w:p>
    <w:p w14:paraId="27479842" w14:textId="77777777" w:rsidR="003F0CA2" w:rsidRPr="00972808" w:rsidRDefault="003F0CA2" w:rsidP="003F0CA2">
      <w:pPr>
        <w:pStyle w:val="SRTextnomal"/>
      </w:pPr>
      <w:bookmarkStart w:id="46" w:name="_Toc80264002"/>
      <w:r w:rsidRPr="00972808">
        <w:t>Aktuální odhady daňových příjmů jsou založeny na srpnové makroekonomické predikci Ministerstva financí, dosavadním vývoji inkasa daňových příjmů, uskutečněných i nově účinných legislativních změnách vyplývajících zejména ze změnového zákona v souvislosti s přijetím zákona o jednotném měsíčním hlášení zaměstnavatele. Jedná se o úpravy zákona o daních z příjmů v oblasti zdanění příjmů ze závislé činnosti, v oblasti odpočtů na podporu výzkumu a vývoje spočívající v navýšení výše odpočtu do limitu a dalších parametrických úpravách. Dále jde o úpravu zákona o rezervách spočívající ve zvýšení hodnoty pohledávky, kterou lze při splnění podmínek odepsat. Při zpracování odhadů daňových příjmů byly zohledněny i očekávané legislativní změny s účinností od počátku roku 2027, především zavedení EET 2.0, snížení sazby DPH na nealkoholické nápoje v rámci stravovacích služeb, zavedení vybraných slev u daně z příjmů fyzických osob, zavedení spotřební daně na kratom a zvýšení sazby DPH za kratom.</w:t>
      </w:r>
    </w:p>
    <w:p w14:paraId="473EDF93" w14:textId="3102266E" w:rsidR="006E4339" w:rsidRPr="00972808" w:rsidRDefault="006E4339" w:rsidP="000D440D">
      <w:pPr>
        <w:pStyle w:val="SRTitulek1"/>
        <w:rPr>
          <w:i/>
        </w:rPr>
      </w:pPr>
      <w:bookmarkStart w:id="47" w:name="_Toc239067876"/>
      <w:r w:rsidRPr="00972808">
        <w:t xml:space="preserve">Tabulka </w:t>
      </w:r>
      <w:r w:rsidR="004B1633" w:rsidRPr="00972808">
        <w:fldChar w:fldCharType="begin"/>
      </w:r>
      <w:r w:rsidR="004B1633" w:rsidRPr="00972808">
        <w:instrText xml:space="preserve"> SEQ Tabulka \* ARABIC </w:instrText>
      </w:r>
      <w:r w:rsidR="004B1633" w:rsidRPr="00972808">
        <w:fldChar w:fldCharType="separate"/>
      </w:r>
      <w:r w:rsidR="00344480">
        <w:rPr>
          <w:noProof/>
        </w:rPr>
        <w:t>7</w:t>
      </w:r>
      <w:r w:rsidR="004B1633" w:rsidRPr="00972808">
        <w:rPr>
          <w:noProof/>
        </w:rPr>
        <w:fldChar w:fldCharType="end"/>
      </w:r>
      <w:r w:rsidRPr="00972808">
        <w:t xml:space="preserve"> Daňové příjmy </w:t>
      </w:r>
      <w:r w:rsidRPr="00972808">
        <w:rPr>
          <w:i/>
        </w:rPr>
        <w:t>(v mld. Kč)</w:t>
      </w:r>
      <w:bookmarkEnd w:id="46"/>
      <w:bookmarkEnd w:id="47"/>
    </w:p>
    <w:p w14:paraId="49A37288" w14:textId="03E00E99" w:rsidR="00E91890" w:rsidRPr="00972808" w:rsidRDefault="008232CD" w:rsidP="00E91890">
      <w:pPr>
        <w:pStyle w:val="SRTextnomal"/>
      </w:pPr>
      <w:bookmarkStart w:id="48" w:name="_Ref156291210"/>
      <w:bookmarkStart w:id="49" w:name="_Ref156291268"/>
      <w:bookmarkStart w:id="50" w:name="_Ref156291379"/>
      <w:bookmarkStart w:id="51" w:name="_Ref156291609"/>
      <w:bookmarkStart w:id="52" w:name="_Toc52369849"/>
      <w:r w:rsidRPr="00972808">
        <w:rPr>
          <w:noProof/>
        </w:rPr>
        <w:drawing>
          <wp:inline distT="0" distB="0" distL="0" distR="0" wp14:anchorId="68D0C1CE" wp14:editId="7C796ED8">
            <wp:extent cx="6120130" cy="322072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220720"/>
                    </a:xfrm>
                    <a:prstGeom prst="rect">
                      <a:avLst/>
                    </a:prstGeom>
                    <a:noFill/>
                    <a:ln>
                      <a:noFill/>
                    </a:ln>
                  </pic:spPr>
                </pic:pic>
              </a:graphicData>
            </a:graphic>
          </wp:inline>
        </w:drawing>
      </w:r>
    </w:p>
    <w:p w14:paraId="24CEFF79" w14:textId="1232BE01" w:rsidR="00E91890" w:rsidRPr="00972808" w:rsidRDefault="00185692" w:rsidP="00AD317C">
      <w:pPr>
        <w:pStyle w:val="SRNadpis3"/>
      </w:pPr>
      <w:bookmarkStart w:id="53" w:name="_Toc239067810"/>
      <w:bookmarkEnd w:id="48"/>
      <w:bookmarkEnd w:id="49"/>
      <w:bookmarkEnd w:id="50"/>
      <w:bookmarkEnd w:id="51"/>
      <w:r w:rsidRPr="00972808">
        <w:t>Daň z přidané hodnoty</w:t>
      </w:r>
      <w:bookmarkEnd w:id="52"/>
      <w:bookmarkEnd w:id="53"/>
    </w:p>
    <w:p w14:paraId="27040DC9" w14:textId="77777777" w:rsidR="003F0CA2" w:rsidRPr="00972808" w:rsidRDefault="003F0CA2" w:rsidP="003F0CA2">
      <w:pPr>
        <w:pStyle w:val="SRTextnomal"/>
      </w:pPr>
      <w:bookmarkStart w:id="54" w:name="_Toc52369850"/>
      <w:r w:rsidRPr="00972808">
        <w:t xml:space="preserve">V roce 2027 se odhaduje inkaso </w:t>
      </w:r>
      <w:r w:rsidRPr="00972808">
        <w:rPr>
          <w:b/>
          <w:bCs/>
        </w:rPr>
        <w:t>daně z přidané hodnoty</w:t>
      </w:r>
      <w:r w:rsidRPr="00972808">
        <w:t xml:space="preserve"> na úrovni státního rozpočtu ve výši </w:t>
      </w:r>
      <w:r w:rsidRPr="00972808">
        <w:rPr>
          <w:b/>
          <w:bCs/>
        </w:rPr>
        <w:t>448,7 mld. Kč</w:t>
      </w:r>
      <w:r w:rsidRPr="00972808">
        <w:t>. Pozitivně bude na inkaso působit vývoj nominální spotřeby domácností.</w:t>
      </w:r>
    </w:p>
    <w:p w14:paraId="619193BC" w14:textId="77777777" w:rsidR="003F0CA2" w:rsidRPr="00972808" w:rsidRDefault="003F0CA2" w:rsidP="003F0CA2">
      <w:pPr>
        <w:pStyle w:val="SRTextnomal"/>
      </w:pPr>
      <w:bookmarkStart w:id="55" w:name="_Hlk237859685"/>
      <w:r w:rsidRPr="00972808">
        <w:t>Na inkaso budou pozitivně působit i plánovaná opatření s účinností od počátku roku 2027, především zavedení EET 2.0 a zvýšení sazby DPH za kratom.</w:t>
      </w:r>
      <w:bookmarkEnd w:id="55"/>
      <w:r w:rsidRPr="00972808">
        <w:t xml:space="preserve"> Negativní vliv na inkaso naopak přinese plánované snížení sazby DPH na nealkoholické nápoje v rámci stravovacích služeb a zrušení omezení odpočtu daně na vstupu u vybraných osobních automobilů. Celkově je odhadován pozitivní dopad plánovaných opatření ve výši cca 3,3 mld. Kč na úrovni státního rozpočtu.</w:t>
      </w:r>
    </w:p>
    <w:p w14:paraId="738E044E" w14:textId="27CC6CEF" w:rsidR="00E91890" w:rsidRPr="00972808" w:rsidRDefault="000D015E" w:rsidP="00AD317C">
      <w:pPr>
        <w:pStyle w:val="SRNadpis3"/>
        <w:rPr>
          <w:rFonts w:eastAsia="Calibri"/>
          <w:lang w:eastAsia="en-US"/>
        </w:rPr>
      </w:pPr>
      <w:bookmarkStart w:id="56" w:name="_Toc239067811"/>
      <w:r w:rsidRPr="00972808">
        <w:lastRenderedPageBreak/>
        <w:t>Spotřební daně</w:t>
      </w:r>
      <w:bookmarkEnd w:id="54"/>
      <w:bookmarkEnd w:id="56"/>
    </w:p>
    <w:p w14:paraId="6657D42E" w14:textId="77777777" w:rsidR="003F0CA2" w:rsidRPr="00972808" w:rsidRDefault="003F0CA2" w:rsidP="003F0CA2">
      <w:pPr>
        <w:pStyle w:val="SRTextnomal"/>
        <w:rPr>
          <w:rFonts w:eastAsia="Calibri"/>
          <w:lang w:eastAsia="en-US"/>
        </w:rPr>
      </w:pPr>
      <w:bookmarkStart w:id="57" w:name="_Toc52369851"/>
      <w:r w:rsidRPr="00972808">
        <w:rPr>
          <w:rFonts w:eastAsia="Calibri"/>
          <w:lang w:eastAsia="en-US"/>
        </w:rPr>
        <w:t xml:space="preserve">Příjem státního rozpočtu ze </w:t>
      </w:r>
      <w:r w:rsidRPr="00972808">
        <w:rPr>
          <w:rFonts w:eastAsia="Calibri"/>
          <w:b/>
          <w:lang w:eastAsia="en-US"/>
        </w:rPr>
        <w:t>spotřební daně z minerálních olejů</w:t>
      </w:r>
      <w:r w:rsidRPr="00972808">
        <w:rPr>
          <w:rFonts w:eastAsia="Calibri"/>
          <w:lang w:eastAsia="en-US"/>
        </w:rPr>
        <w:t xml:space="preserve"> je pro rok 2027 odhadován na </w:t>
      </w:r>
      <w:r w:rsidRPr="00972808">
        <w:rPr>
          <w:rFonts w:eastAsia="Calibri"/>
          <w:b/>
          <w:bCs/>
          <w:lang w:eastAsia="en-US"/>
        </w:rPr>
        <w:t>88,7 mld. Kč</w:t>
      </w:r>
      <w:r w:rsidRPr="00972808">
        <w:rPr>
          <w:rFonts w:eastAsia="Calibri"/>
          <w:lang w:eastAsia="en-US"/>
        </w:rPr>
        <w:t>, což je odrazem predikovaného mírného nárůstu spotřeby pohonných hmot, neboť stále v oblasti dopravy, zejména nákladní a dálkové, dominují klasická paliva. Meziroční vývoj je ovlivněn prominutím části spotřební daně z nafty v průběhu roku 2026 v souvislosti s krizí v Hormuzském průlivu.</w:t>
      </w:r>
    </w:p>
    <w:p w14:paraId="5273D222" w14:textId="3622AC45" w:rsidR="003F0CA2" w:rsidRPr="00972808" w:rsidRDefault="003F0CA2" w:rsidP="003F0CA2">
      <w:pPr>
        <w:pStyle w:val="SRTextnomal"/>
        <w:rPr>
          <w:rFonts w:eastAsia="Calibri"/>
          <w:lang w:eastAsia="en-US"/>
        </w:rPr>
      </w:pPr>
      <w:r w:rsidRPr="00972808">
        <w:rPr>
          <w:rFonts w:eastAsia="Calibri"/>
          <w:lang w:eastAsia="en-US"/>
        </w:rPr>
        <w:t xml:space="preserve">Predikovaná výše inkasa </w:t>
      </w:r>
      <w:r w:rsidRPr="00972808">
        <w:rPr>
          <w:rFonts w:eastAsia="Calibri"/>
          <w:b/>
          <w:lang w:eastAsia="en-US"/>
        </w:rPr>
        <w:t>spotřebních daní z tabákových a souvisejících</w:t>
      </w:r>
      <w:r w:rsidRPr="00972808">
        <w:rPr>
          <w:rFonts w:eastAsia="Calibri"/>
          <w:lang w:eastAsia="en-US"/>
        </w:rPr>
        <w:t xml:space="preserve"> </w:t>
      </w:r>
      <w:r w:rsidRPr="00972808">
        <w:rPr>
          <w:rFonts w:eastAsia="Calibri"/>
          <w:b/>
          <w:lang w:eastAsia="en-US"/>
        </w:rPr>
        <w:t xml:space="preserve">výrobků </w:t>
      </w:r>
      <w:r w:rsidRPr="00972808">
        <w:rPr>
          <w:rFonts w:eastAsia="Calibri"/>
          <w:lang w:eastAsia="en-US"/>
        </w:rPr>
        <w:t xml:space="preserve">(cigaret, doutníků, cigarillos, tabáku ke kouření, surového tabáku, zahřívaných tabákových výrobků, nikotinových sáčků a náplní do elektronických cigaret) by měla v roce 2027 dosáhnout </w:t>
      </w:r>
      <w:r w:rsidRPr="00972808">
        <w:rPr>
          <w:rFonts w:eastAsia="Calibri"/>
          <w:b/>
          <w:lang w:eastAsia="en-US"/>
        </w:rPr>
        <w:t>63,3 mld. Kč</w:t>
      </w:r>
      <w:r w:rsidRPr="00972808">
        <w:rPr>
          <w:rFonts w:eastAsia="Calibri"/>
          <w:lang w:eastAsia="en-US"/>
        </w:rPr>
        <w:t>. V rámci zákona o konsolidaci veřejných rozpočtů je rok 2027 posledním rokem víceletého plánu postupného navyšování sazeb spotřební daně z klasických tabákových výrobků (v průměru o</w:t>
      </w:r>
      <w:r w:rsidR="00177E3B" w:rsidRPr="00972808">
        <w:rPr>
          <w:rFonts w:eastAsia="Calibri"/>
          <w:lang w:eastAsia="en-US"/>
        </w:rPr>
        <w:t> </w:t>
      </w:r>
      <w:r w:rsidRPr="00972808">
        <w:rPr>
          <w:rFonts w:eastAsia="Calibri"/>
          <w:lang w:eastAsia="en-US"/>
        </w:rPr>
        <w:t>5</w:t>
      </w:r>
      <w:r w:rsidR="00177E3B" w:rsidRPr="00972808">
        <w:rPr>
          <w:rFonts w:eastAsia="Calibri"/>
          <w:lang w:eastAsia="en-US"/>
        </w:rPr>
        <w:t> </w:t>
      </w:r>
      <w:r w:rsidRPr="00972808">
        <w:rPr>
          <w:rFonts w:eastAsia="Calibri"/>
          <w:lang w:eastAsia="en-US"/>
        </w:rPr>
        <w:t>%) a sazeb u zahřívaných tabákových výrobků (o 15 %). Sazby v roce 2024 nově zavedených spotřebních daní z výrobků souvisejících s tabákovými výrobky se pro rok 2027 v souladu s výše zmíněným plánem taktéž zvyšují, a to o</w:t>
      </w:r>
      <w:r w:rsidR="00177E3B" w:rsidRPr="00972808">
        <w:rPr>
          <w:rFonts w:eastAsia="Calibri"/>
          <w:lang w:eastAsia="en-US"/>
        </w:rPr>
        <w:t> </w:t>
      </w:r>
      <w:r w:rsidRPr="00972808">
        <w:rPr>
          <w:rFonts w:eastAsia="Calibri"/>
          <w:lang w:eastAsia="en-US"/>
        </w:rPr>
        <w:t>33 % v případě náplní do elektronických cigaret a o 42 % v případě nikotinových sáčků. U tabákových a souvisejících výrobků lze pozorovat přesun spotřebitelských preferencí mezi jednotlivými kategoriemi, a sice odklon od tradičních cigaret směrem k alternativám, zejména k elektronickým cigaretám. Naopak v minulosti významně rostoucí trh se zahřívanými tabákovými výrobky začíná oslabovat.</w:t>
      </w:r>
    </w:p>
    <w:p w14:paraId="405151FF" w14:textId="77777777" w:rsidR="003F0CA2" w:rsidRPr="00972808" w:rsidRDefault="003F0CA2" w:rsidP="003F0CA2">
      <w:pPr>
        <w:pStyle w:val="SRTextnomal"/>
        <w:rPr>
          <w:rFonts w:eastAsia="Calibri"/>
          <w:lang w:eastAsia="en-US"/>
        </w:rPr>
      </w:pPr>
      <w:r w:rsidRPr="00972808">
        <w:rPr>
          <w:rFonts w:eastAsia="Calibri"/>
          <w:b/>
          <w:lang w:eastAsia="en-US"/>
        </w:rPr>
        <w:t>Inkaso spotřební daně z lihu</w:t>
      </w:r>
      <w:r w:rsidRPr="00972808">
        <w:rPr>
          <w:rFonts w:eastAsia="Calibri"/>
          <w:lang w:eastAsia="en-US"/>
        </w:rPr>
        <w:t xml:space="preserve"> je predikováno ve výši </w:t>
      </w:r>
      <w:r w:rsidRPr="00972808">
        <w:rPr>
          <w:rFonts w:eastAsia="Calibri"/>
          <w:b/>
          <w:lang w:eastAsia="en-US"/>
        </w:rPr>
        <w:t>8,9 mld. Kč</w:t>
      </w:r>
      <w:r w:rsidRPr="00972808">
        <w:rPr>
          <w:rFonts w:eastAsia="Calibri"/>
          <w:lang w:eastAsia="en-US"/>
        </w:rPr>
        <w:t xml:space="preserve">. V roce 2027 již nedochází ke zvýšení sazeb spotřební daně, očekáváme tedy stabilizaci trhu. V posledních letech je však pozorován pokles spotřeby alkoholických nápojů, což implikuje pokles inkasa spotřební daně z těchto komodit. Inkaso </w:t>
      </w:r>
      <w:r w:rsidRPr="00972808">
        <w:rPr>
          <w:rFonts w:eastAsia="Calibri"/>
          <w:b/>
          <w:lang w:eastAsia="en-US"/>
        </w:rPr>
        <w:t>spotřební daně z piva</w:t>
      </w:r>
      <w:r w:rsidRPr="00972808">
        <w:rPr>
          <w:rFonts w:eastAsia="Calibri"/>
          <w:lang w:eastAsia="en-US"/>
        </w:rPr>
        <w:t xml:space="preserve"> by mělo v roce 2027 dosáhnout </w:t>
      </w:r>
      <w:r w:rsidRPr="00972808">
        <w:rPr>
          <w:rFonts w:eastAsia="Calibri"/>
          <w:b/>
          <w:lang w:eastAsia="en-US"/>
        </w:rPr>
        <w:t>4,2 mld. Kč</w:t>
      </w:r>
      <w:r w:rsidRPr="00972808">
        <w:rPr>
          <w:rFonts w:eastAsia="Calibri"/>
          <w:lang w:eastAsia="en-US"/>
        </w:rPr>
        <w:t xml:space="preserve"> a </w:t>
      </w:r>
      <w:r w:rsidRPr="00972808">
        <w:rPr>
          <w:rFonts w:eastAsia="Calibri"/>
          <w:b/>
          <w:bCs/>
          <w:lang w:eastAsia="en-US"/>
        </w:rPr>
        <w:t>z</w:t>
      </w:r>
      <w:r w:rsidRPr="00972808">
        <w:rPr>
          <w:rFonts w:eastAsia="Calibri"/>
          <w:lang w:eastAsia="en-US"/>
        </w:rPr>
        <w:t> </w:t>
      </w:r>
      <w:r w:rsidRPr="00972808">
        <w:rPr>
          <w:rFonts w:eastAsia="Calibri"/>
          <w:b/>
          <w:lang w:eastAsia="en-US"/>
        </w:rPr>
        <w:t>vína 0,5 mld. Kč.</w:t>
      </w:r>
      <w:r w:rsidRPr="00972808">
        <w:rPr>
          <w:rFonts w:eastAsia="Calibri"/>
          <w:lang w:eastAsia="en-US"/>
        </w:rPr>
        <w:t xml:space="preserve"> Predikce odráží výše uvedené skutečnosti poklesu spotřeby alkoholických nápojů.</w:t>
      </w:r>
    </w:p>
    <w:p w14:paraId="0AC36FD8" w14:textId="77777777" w:rsidR="003F0CA2" w:rsidRPr="00972808" w:rsidRDefault="003F0CA2" w:rsidP="003F0CA2">
      <w:pPr>
        <w:pStyle w:val="SRTextnomal"/>
        <w:rPr>
          <w:rFonts w:eastAsia="Calibri"/>
          <w:lang w:eastAsia="en-US"/>
        </w:rPr>
      </w:pPr>
      <w:r w:rsidRPr="00972808">
        <w:rPr>
          <w:rFonts w:eastAsia="Calibri"/>
          <w:lang w:eastAsia="en-US"/>
        </w:rPr>
        <w:t>Od roku 2027 je plánováno zavedení spotřební daně z </w:t>
      </w:r>
      <w:r w:rsidRPr="00972808">
        <w:rPr>
          <w:rFonts w:eastAsia="Calibri"/>
          <w:b/>
          <w:lang w:eastAsia="en-US"/>
        </w:rPr>
        <w:t>kratomu</w:t>
      </w:r>
      <w:r w:rsidRPr="00972808">
        <w:rPr>
          <w:rFonts w:eastAsia="Calibri"/>
          <w:lang w:eastAsia="en-US"/>
        </w:rPr>
        <w:t xml:space="preserve">, a to v rámci celého souboru opatření směřujících k regulaci této psychomodulační látky (lex kratom). Inkaso je pro rok 2027 odhadováno ve výši </w:t>
      </w:r>
      <w:r w:rsidRPr="00972808">
        <w:rPr>
          <w:rFonts w:eastAsia="Calibri"/>
          <w:b/>
          <w:lang w:eastAsia="en-US"/>
        </w:rPr>
        <w:t>0,3 mld. Kč</w:t>
      </w:r>
      <w:r w:rsidRPr="00972808">
        <w:rPr>
          <w:rFonts w:eastAsia="Calibri"/>
          <w:lang w:eastAsia="en-US"/>
        </w:rPr>
        <w:t>.</w:t>
      </w:r>
    </w:p>
    <w:p w14:paraId="06A65A89" w14:textId="77777777" w:rsidR="003F0CA2" w:rsidRPr="00972808" w:rsidRDefault="003F0CA2" w:rsidP="003F0CA2">
      <w:pPr>
        <w:pStyle w:val="SRTextnomal"/>
      </w:pPr>
      <w:r w:rsidRPr="00972808">
        <w:rPr>
          <w:rFonts w:eastAsia="Calibri"/>
          <w:lang w:eastAsia="en-US"/>
        </w:rPr>
        <w:t xml:space="preserve">Celkový příjem pro státní rozpočet z titulu </w:t>
      </w:r>
      <w:r w:rsidRPr="00972808">
        <w:rPr>
          <w:rFonts w:eastAsia="Calibri"/>
          <w:b/>
          <w:lang w:eastAsia="en-US"/>
        </w:rPr>
        <w:t>energetických daní</w:t>
      </w:r>
      <w:r w:rsidRPr="00972808">
        <w:rPr>
          <w:rFonts w:eastAsia="Calibri"/>
          <w:lang w:eastAsia="en-US"/>
        </w:rPr>
        <w:t xml:space="preserve"> (daň ze zemního plynu, elektřiny a pevných paliv) je v roce 2027 očekáván ve výši </w:t>
      </w:r>
      <w:r w:rsidRPr="00972808">
        <w:rPr>
          <w:rFonts w:eastAsia="Calibri"/>
          <w:b/>
          <w:lang w:eastAsia="en-US"/>
        </w:rPr>
        <w:t>3,5 mld. Kč</w:t>
      </w:r>
      <w:r w:rsidRPr="00972808">
        <w:rPr>
          <w:rFonts w:eastAsia="Calibri"/>
          <w:lang w:eastAsia="en-US"/>
        </w:rPr>
        <w:t xml:space="preserve">. </w:t>
      </w:r>
      <w:bookmarkStart w:id="58" w:name="_Toc178327566"/>
    </w:p>
    <w:p w14:paraId="602DE846" w14:textId="393090EF" w:rsidR="00AD317C" w:rsidRPr="00972808" w:rsidRDefault="000D015E" w:rsidP="00AD317C">
      <w:pPr>
        <w:pStyle w:val="SRNadpis3"/>
      </w:pPr>
      <w:bookmarkStart w:id="59" w:name="_Toc239067812"/>
      <w:bookmarkEnd w:id="58"/>
      <w:r w:rsidRPr="00972808">
        <w:t>Daň z příjmů právnických osob</w:t>
      </w:r>
      <w:bookmarkEnd w:id="57"/>
      <w:bookmarkEnd w:id="59"/>
    </w:p>
    <w:p w14:paraId="18F7D5A8" w14:textId="39ABD9C9" w:rsidR="003F0CA2" w:rsidRPr="00972808" w:rsidRDefault="003F0CA2" w:rsidP="003F0CA2">
      <w:pPr>
        <w:pStyle w:val="SRTextnomal"/>
      </w:pPr>
      <w:bookmarkStart w:id="60" w:name="_Toc52369852"/>
      <w:r w:rsidRPr="00972808">
        <w:t xml:space="preserve">Inkaso </w:t>
      </w:r>
      <w:r w:rsidRPr="00972808">
        <w:rPr>
          <w:b/>
        </w:rPr>
        <w:t>daně z příjmů právnických osob</w:t>
      </w:r>
      <w:r w:rsidRPr="00972808">
        <w:rPr>
          <w:bCs/>
        </w:rPr>
        <w:t xml:space="preserve"> se</w:t>
      </w:r>
      <w:r w:rsidRPr="00972808">
        <w:rPr>
          <w:b/>
          <w:bCs/>
        </w:rPr>
        <w:t xml:space="preserve"> </w:t>
      </w:r>
      <w:r w:rsidRPr="00972808">
        <w:t>odhaduje v roce 2027 na </w:t>
      </w:r>
      <w:r w:rsidRPr="00972808">
        <w:rPr>
          <w:b/>
          <w:bCs/>
        </w:rPr>
        <w:t>226,6 mld. Kč</w:t>
      </w:r>
      <w:r w:rsidRPr="00972808">
        <w:t xml:space="preserve"> pro státní rozpočet. Inkaso bude meziročně pozitivně ovlivněno ekonomickým vývojem v roce 2026 a legislativními opatřeními přijatými v minulých letech. V roce 2027 již také nebude inkaso ovlivňovat daň z neočekávaných zisků (daň byla zrušena v roce 2025, ale inkaso roku 2026 ještě pozitivně ovlivnilo zaplacené vyrovnání</w:t>
      </w:r>
      <w:r w:rsidR="004F7258" w:rsidRPr="00972808">
        <w:t>).</w:t>
      </w:r>
      <w:r w:rsidRPr="00972808">
        <w:t xml:space="preserve"> </w:t>
      </w:r>
    </w:p>
    <w:p w14:paraId="76CC440D" w14:textId="77777777" w:rsidR="003F0CA2" w:rsidRPr="00972808" w:rsidRDefault="003F0CA2" w:rsidP="003F0CA2">
      <w:pPr>
        <w:pStyle w:val="SRTextnomal"/>
      </w:pPr>
      <w:r w:rsidRPr="00972808">
        <w:t xml:space="preserve">V případě legislativních opatření s vlivem na inkaso se jedná zejména o zvýšení sazby daně o 2 p. b. od roku 2024, přičemž dopad změny sazby se ve srovnání s rokem 2026 projeví pouze ve vyšších zálohách. </w:t>
      </w:r>
    </w:p>
    <w:p w14:paraId="34D1860B" w14:textId="2C9846E8" w:rsidR="00AD317C" w:rsidRPr="00972808" w:rsidRDefault="000D015E" w:rsidP="00AD317C">
      <w:pPr>
        <w:pStyle w:val="SRNadpis3"/>
      </w:pPr>
      <w:bookmarkStart w:id="61" w:name="_Toc239067813"/>
      <w:r w:rsidRPr="00972808">
        <w:t>Daň z příjmů fyzických osob</w:t>
      </w:r>
      <w:bookmarkEnd w:id="60"/>
      <w:bookmarkEnd w:id="61"/>
    </w:p>
    <w:p w14:paraId="65169EE8" w14:textId="77777777" w:rsidR="003F0CA2" w:rsidRPr="00972808" w:rsidRDefault="003F0CA2" w:rsidP="003F0CA2">
      <w:pPr>
        <w:pStyle w:val="SRTextnomal"/>
      </w:pPr>
      <w:bookmarkStart w:id="62" w:name="_Toc52369854"/>
      <w:r w:rsidRPr="00972808">
        <w:t xml:space="preserve">V roce 2027 je očekáváno celkové </w:t>
      </w:r>
      <w:r w:rsidRPr="00972808">
        <w:rPr>
          <w:b/>
          <w:bCs/>
        </w:rPr>
        <w:t>inkaso daně z příjmů fyzických osob</w:t>
      </w:r>
      <w:r w:rsidRPr="00972808">
        <w:t xml:space="preserve"> ve výši </w:t>
      </w:r>
      <w:r w:rsidRPr="00972808">
        <w:rPr>
          <w:b/>
          <w:bCs/>
        </w:rPr>
        <w:t>216,2 mld. Kč</w:t>
      </w:r>
      <w:r w:rsidRPr="00972808">
        <w:t xml:space="preserve"> na úrovni státního rozpočtu. </w:t>
      </w:r>
    </w:p>
    <w:p w14:paraId="2FDB065F" w14:textId="4DCA9299" w:rsidR="003F0CA2" w:rsidRPr="00972808" w:rsidRDefault="003F0CA2" w:rsidP="003F0CA2">
      <w:pPr>
        <w:pStyle w:val="SRTextnomal"/>
      </w:pPr>
      <w:r w:rsidRPr="00972808">
        <w:t>Od roku 2027 a dále se nebudou vybrané příjmy ze závislé činnosti, např. příjmy vyplácené na základě dohod o proveden</w:t>
      </w:r>
      <w:r w:rsidR="001C3468" w:rsidRPr="00972808">
        <w:t>í</w:t>
      </w:r>
      <w:r w:rsidRPr="00972808">
        <w:t xml:space="preserve"> práce do limitu, zdaňovat srážkovou daní a dojde tak k přesunu části inkasa ze srážkové daně do inkasa daně z příjmů fyzických osob placené plátci. V souhrnu by tato změna měla zůstat rozpočtově neutrální.</w:t>
      </w:r>
    </w:p>
    <w:p w14:paraId="0090270F" w14:textId="77777777" w:rsidR="003F0CA2" w:rsidRPr="00972808" w:rsidRDefault="003F0CA2" w:rsidP="003F0CA2">
      <w:pPr>
        <w:pStyle w:val="SRTextnomal"/>
      </w:pPr>
      <w:r w:rsidRPr="00972808">
        <w:t xml:space="preserve">Inkaso </w:t>
      </w:r>
      <w:r w:rsidRPr="00972808">
        <w:rPr>
          <w:b/>
        </w:rPr>
        <w:t>daně z příjmů fyzických osob placené plátci</w:t>
      </w:r>
      <w:r w:rsidRPr="00972808">
        <w:t xml:space="preserve"> je predikováno ve výši 176,5 mld. Kč na úrovni státního rozpočtu. Inkaso bude pozitivně ovlivněno růstem objemu mezd a platů. Na inkaso budou i nadále pozitivně působit zejména dříve zavedená opatření. Pozitivně se na inkasu také projeví zavedení institutu Jednotného měsíčního hlášení zaměstnavatele a novela zákona o zaměstnanosti, které povedou k efektivnějšímu výběru daní, poplatků a pojistného, lepšímu sdílení informací mezi resorty a k potírání nelegálního zaměstnávání. Po zohlednění návrhu zákona o evidenci tržeb bude inkaso daně z příjmů fyzických osob mírně pozitivně ovlivněno zavedením povinné evidence.  Dílčí negativní dopad na inkaso státního rozpočtu bude mít již dříve schválená změna týkající se daňové podpory produktů spoření na stáří.</w:t>
      </w:r>
    </w:p>
    <w:p w14:paraId="353714EF" w14:textId="77777777" w:rsidR="003F0CA2" w:rsidRPr="00972808" w:rsidRDefault="003F0CA2" w:rsidP="003F0CA2">
      <w:pPr>
        <w:pStyle w:val="SRTextnomal"/>
      </w:pPr>
      <w:r w:rsidRPr="00972808">
        <w:t xml:space="preserve">Inkaso </w:t>
      </w:r>
      <w:r w:rsidRPr="00972808">
        <w:rPr>
          <w:b/>
        </w:rPr>
        <w:t>daně z příjmů fyzických osob placené poplatníky</w:t>
      </w:r>
      <w:r w:rsidRPr="00972808">
        <w:t xml:space="preserve"> je na úrovni státního rozpočtu pro rok 2027 predikováno ve výši 17,6 mld. Kč. Na inkasu se pozitivně projeví dříve zavedená opatření.</w:t>
      </w:r>
    </w:p>
    <w:p w14:paraId="1D2AEE4B" w14:textId="77777777" w:rsidR="003F0CA2" w:rsidRPr="00972808" w:rsidRDefault="003F0CA2" w:rsidP="003F0CA2">
      <w:pPr>
        <w:pStyle w:val="SRTextnomal"/>
      </w:pPr>
      <w:r w:rsidRPr="00972808">
        <w:t xml:space="preserve">Inkaso </w:t>
      </w:r>
      <w:r w:rsidRPr="00972808">
        <w:rPr>
          <w:b/>
        </w:rPr>
        <w:t>daně z příjmů fyzických osob vybírané srážkou</w:t>
      </w:r>
      <w:r w:rsidRPr="00972808">
        <w:t xml:space="preserve"> je pro rok 2027 predikováno na 22,1 mld. Kč na úrovni státního rozpočtu. Inkaso této daně bude ovlivněno opatřeními zavedenými v minulých letech.</w:t>
      </w:r>
      <w:bookmarkStart w:id="63" w:name="_Toc178327568"/>
    </w:p>
    <w:p w14:paraId="00DEA4AE" w14:textId="770744EC" w:rsidR="00AD317C" w:rsidRPr="00972808" w:rsidRDefault="0051686C" w:rsidP="00AD317C">
      <w:pPr>
        <w:pStyle w:val="SRNadpis3"/>
      </w:pPr>
      <w:bookmarkStart w:id="64" w:name="_Toc239067814"/>
      <w:bookmarkEnd w:id="63"/>
      <w:r w:rsidRPr="00972808">
        <w:lastRenderedPageBreak/>
        <w:t>Silniční daň</w:t>
      </w:r>
      <w:bookmarkEnd w:id="64"/>
    </w:p>
    <w:p w14:paraId="10DA5272" w14:textId="3F4680F9" w:rsidR="003F0CA2" w:rsidRPr="00972808" w:rsidRDefault="003F0CA2" w:rsidP="003F0CA2">
      <w:pPr>
        <w:pStyle w:val="SRTextnomal"/>
      </w:pPr>
      <w:r w:rsidRPr="00972808">
        <w:t xml:space="preserve">Inkaso </w:t>
      </w:r>
      <w:r w:rsidRPr="00972808">
        <w:rPr>
          <w:b/>
        </w:rPr>
        <w:t>daně silniční</w:t>
      </w:r>
      <w:r w:rsidRPr="00972808">
        <w:t xml:space="preserve"> je od roku 2024 příjmem státního rozpočtu. Již v minulosti byl základ daně výrazně redukován tak, aby odpovídal minimálním požadavkům směrnice EU, od roku 2025 je platná úprava sazby pro vozidla se vzduchovým závěsem hnací nápravy, která opět inkaso daně snižuje. Odhad inkasa pro rok 2027 je stanoven na </w:t>
      </w:r>
      <w:r w:rsidRPr="00972808">
        <w:rPr>
          <w:b/>
        </w:rPr>
        <w:t>1 mld. Kč</w:t>
      </w:r>
      <w:r w:rsidRPr="00972808">
        <w:t>.</w:t>
      </w:r>
    </w:p>
    <w:p w14:paraId="3A93E252" w14:textId="74B6BC79" w:rsidR="00AD317C" w:rsidRPr="00972808" w:rsidRDefault="00AF5DA2" w:rsidP="00AD317C">
      <w:pPr>
        <w:pStyle w:val="SRNadpis3"/>
      </w:pPr>
      <w:bookmarkStart w:id="65" w:name="_Toc239067815"/>
      <w:r w:rsidRPr="00972808">
        <w:t>Odvod z elektřiny ze slunečního záření</w:t>
      </w:r>
      <w:bookmarkEnd w:id="62"/>
      <w:bookmarkEnd w:id="65"/>
    </w:p>
    <w:p w14:paraId="2B2EF785" w14:textId="77777777" w:rsidR="003F0CA2" w:rsidRPr="00972808" w:rsidRDefault="003F0CA2" w:rsidP="003F0CA2">
      <w:pPr>
        <w:pStyle w:val="SRTextnomal"/>
      </w:pPr>
      <w:bookmarkStart w:id="66" w:name="_Hlk209445494"/>
      <w:bookmarkStart w:id="67" w:name="_Toc52369855"/>
      <w:r w:rsidRPr="00972808">
        <w:t xml:space="preserve">V roce 2027 je predikce výše odvodu z </w:t>
      </w:r>
      <w:r w:rsidRPr="00972808">
        <w:rPr>
          <w:b/>
        </w:rPr>
        <w:t>elektřiny vyrobené ze slunečního záření</w:t>
      </w:r>
      <w:r w:rsidRPr="00972808">
        <w:t xml:space="preserve"> odhadována na úrovni </w:t>
      </w:r>
      <w:r w:rsidRPr="00972808">
        <w:rPr>
          <w:b/>
        </w:rPr>
        <w:t>5,1 mld. Kč</w:t>
      </w:r>
      <w:r w:rsidRPr="00972808">
        <w:t>, neboť se v této oblasti neočekávají žádné jevy, které by významně ovlivnily výši inkasa.</w:t>
      </w:r>
      <w:bookmarkStart w:id="68" w:name="_Toc178327570"/>
    </w:p>
    <w:p w14:paraId="1E139F7A" w14:textId="24F50E31" w:rsidR="00AD317C" w:rsidRPr="00972808" w:rsidRDefault="00AF5DA2" w:rsidP="00AD317C">
      <w:pPr>
        <w:pStyle w:val="SRNadpis3"/>
      </w:pPr>
      <w:bookmarkStart w:id="69" w:name="_Toc239067816"/>
      <w:bookmarkEnd w:id="66"/>
      <w:bookmarkEnd w:id="68"/>
      <w:r w:rsidRPr="00972808">
        <w:t>Daň z</w:t>
      </w:r>
      <w:r w:rsidR="00AD317C" w:rsidRPr="00972808">
        <w:t> </w:t>
      </w:r>
      <w:r w:rsidRPr="00972808">
        <w:t>hazardu</w:t>
      </w:r>
      <w:bookmarkStart w:id="70" w:name="_Toc52369857"/>
      <w:bookmarkEnd w:id="67"/>
      <w:bookmarkEnd w:id="69"/>
    </w:p>
    <w:p w14:paraId="20B51F9C" w14:textId="77777777" w:rsidR="003F0CA2" w:rsidRPr="00972808" w:rsidRDefault="003F0CA2" w:rsidP="003F0CA2">
      <w:pPr>
        <w:pStyle w:val="SRTextnomal"/>
      </w:pPr>
      <w:r w:rsidRPr="00972808">
        <w:t xml:space="preserve">Pro rok 2027 je inkaso </w:t>
      </w:r>
      <w:r w:rsidRPr="00972808">
        <w:rPr>
          <w:b/>
          <w:bCs/>
        </w:rPr>
        <w:t>daně z hazardních her</w:t>
      </w:r>
      <w:r w:rsidRPr="00972808">
        <w:t xml:space="preserve"> odhadováno ve výši </w:t>
      </w:r>
      <w:r w:rsidRPr="00972808">
        <w:rPr>
          <w:b/>
          <w:bCs/>
        </w:rPr>
        <w:t>16,8 mld. Kč</w:t>
      </w:r>
      <w:r w:rsidRPr="00972808">
        <w:t xml:space="preserve"> na úrovni státního rozpočtu. Inkaso bude negativně ovlivněno </w:t>
      </w:r>
      <w:bookmarkStart w:id="71" w:name="_Toc178327571"/>
      <w:r w:rsidRPr="00972808">
        <w:t>rozšířením registru fyzických osob vyloučených z účasti na hazardních hrách.</w:t>
      </w:r>
    </w:p>
    <w:p w14:paraId="74E8D553" w14:textId="172D9366" w:rsidR="00AD317C" w:rsidRPr="00972808" w:rsidRDefault="000A7105" w:rsidP="00AD317C">
      <w:pPr>
        <w:pStyle w:val="SRNadpis3"/>
      </w:pPr>
      <w:bookmarkStart w:id="72" w:name="_Toc239067817"/>
      <w:bookmarkEnd w:id="71"/>
      <w:r w:rsidRPr="00972808">
        <w:t>Dorovnávací daně</w:t>
      </w:r>
      <w:bookmarkEnd w:id="72"/>
    </w:p>
    <w:p w14:paraId="299F20BE" w14:textId="77777777" w:rsidR="003F0CA2" w:rsidRPr="00972808" w:rsidRDefault="003F0CA2" w:rsidP="003F0CA2">
      <w:pPr>
        <w:pStyle w:val="SRTextnomal"/>
      </w:pPr>
      <w:r w:rsidRPr="00972808">
        <w:t xml:space="preserve">Příjmy státního rozpočtu budou v roce 2027 také pozitivně ovlivněny dorovnávacími daněmi. Dne 31. prosince 2023 nabyl účinnosti zákon č. 416/2023 Sb., o dorovnávacích daních pro velké nadnárodní skupiny a velké vnitrostátní skupiny, prostřednictvím kterého byla do české legislativy transponována směrnice Rady EU 2022/2523 o zajištění globální minimální úrovně zdanění nadnárodních skupin podniků a velkých vnitrostátních skupin v Unii. </w:t>
      </w:r>
    </w:p>
    <w:p w14:paraId="58B7F27D" w14:textId="77777777" w:rsidR="003F0CA2" w:rsidRPr="00972808" w:rsidRDefault="003F0CA2" w:rsidP="003F0CA2">
      <w:pPr>
        <w:pStyle w:val="SRTextnomal"/>
      </w:pPr>
      <w:r w:rsidRPr="00972808">
        <w:t xml:space="preserve">Zákon se týká jen entit (subjektů), které jsou členy nadnárodních a vnitrostátních skupin s roční prahovou hodnotou konsolidovaných výnosů ve výši alespoň 750 mil. eur nejméně ve dvou ze čtyř výkazních období, předcházejících zdaňovacímu období. </w:t>
      </w:r>
    </w:p>
    <w:p w14:paraId="23DE7A9B" w14:textId="77777777" w:rsidR="003F0CA2" w:rsidRPr="00972808" w:rsidRDefault="003F0CA2" w:rsidP="003F0CA2">
      <w:pPr>
        <w:pStyle w:val="SRTextnomal"/>
      </w:pPr>
      <w:r w:rsidRPr="00972808">
        <w:t xml:space="preserve">Zavedení minimální daně povede k tomu, že zisky velkých společností budou zdaněny alespoň na minimální efektivní úrovni 15 %. Směrnice, resp. zákon nicméně stanovují výjimky ve vztahu k vybraným druhům entit. </w:t>
      </w:r>
    </w:p>
    <w:p w14:paraId="291253F1" w14:textId="77777777" w:rsidR="003F0CA2" w:rsidRPr="00972808" w:rsidRDefault="003F0CA2" w:rsidP="003F0CA2">
      <w:pPr>
        <w:pStyle w:val="SRTextnomal"/>
      </w:pPr>
      <w:r w:rsidRPr="00972808">
        <w:rPr>
          <w:b/>
          <w:bCs/>
        </w:rPr>
        <w:t>Dorovnávací daně</w:t>
      </w:r>
      <w:r w:rsidRPr="00972808">
        <w:t xml:space="preserve"> jsou příjmem státního rozpočtu, jedná o přímé daně a neřadí se mezi daně z příjmů. Inkaso těchto daní v roce 2027 je očekáváno ve výši </w:t>
      </w:r>
      <w:r w:rsidRPr="00972808">
        <w:rPr>
          <w:b/>
          <w:bCs/>
        </w:rPr>
        <w:t>2 mld. Kč.</w:t>
      </w:r>
      <w:bookmarkStart w:id="73" w:name="_Toc178327572"/>
      <w:bookmarkEnd w:id="73"/>
    </w:p>
    <w:p w14:paraId="19A0EE6E" w14:textId="2FAFF47B" w:rsidR="00AD317C" w:rsidRPr="00972808" w:rsidRDefault="00AF5DA2" w:rsidP="00E05912">
      <w:pPr>
        <w:pStyle w:val="SRNadpis3"/>
      </w:pPr>
      <w:bookmarkStart w:id="74" w:name="_Toc239067818"/>
      <w:r w:rsidRPr="00972808">
        <w:t>Ostatní daně a poplatky</w:t>
      </w:r>
      <w:bookmarkEnd w:id="70"/>
      <w:bookmarkEnd w:id="74"/>
    </w:p>
    <w:p w14:paraId="64572C88" w14:textId="77777777" w:rsidR="00C86343" w:rsidRPr="00972808" w:rsidRDefault="00C86343" w:rsidP="00C86343">
      <w:pPr>
        <w:pStyle w:val="SRTextnomal"/>
      </w:pPr>
      <w:bookmarkStart w:id="75" w:name="_Toc52369858"/>
      <w:r w:rsidRPr="00972808">
        <w:rPr>
          <w:b/>
          <w:bCs/>
        </w:rPr>
        <w:t>Odvod za odnětí půdy</w:t>
      </w:r>
      <w:r w:rsidRPr="00972808">
        <w:t xml:space="preserve"> je v roce 2027 rozpočtován ve výši 0,5 mld. Kč.</w:t>
      </w:r>
    </w:p>
    <w:p w14:paraId="62A4B615" w14:textId="02D8DC19" w:rsidR="009F09F5" w:rsidRPr="00972808" w:rsidRDefault="00C86343" w:rsidP="00C86343">
      <w:pPr>
        <w:pStyle w:val="SRTextnomal"/>
      </w:pPr>
      <w:r w:rsidRPr="00972808">
        <w:rPr>
          <w:b/>
          <w:bCs/>
        </w:rPr>
        <w:t>Ostatní daně</w:t>
      </w:r>
      <w:r w:rsidRPr="00972808">
        <w:t xml:space="preserve"> jsou rozpočtovány pro rok 2027 ve výši 7,5 mld. Kč. Jedná se zejména o odvody nahrazující zaměstnávání občanů se změněnou pracovní schopností a příjmy ze správních </w:t>
      </w:r>
      <w:r w:rsidR="009F09F5" w:rsidRPr="00972808">
        <w:t xml:space="preserve">a soudních </w:t>
      </w:r>
      <w:r w:rsidRPr="00972808">
        <w:t xml:space="preserve">poplatků. </w:t>
      </w:r>
      <w:r w:rsidR="009F09F5" w:rsidRPr="00972808">
        <w:t>Největších objemů dosahují kapitoly Český úřad zeměměřický a katastrální (1,4 mld. Kč), Ministerstvo spravedlnosti (1,4 mld. Kč) a Ministerstvo vnitra 0,5 mld. Kč.</w:t>
      </w:r>
    </w:p>
    <w:p w14:paraId="7F54586F" w14:textId="01BA498F" w:rsidR="00C86343" w:rsidRPr="00972808" w:rsidRDefault="00C86343" w:rsidP="00C86343">
      <w:pPr>
        <w:pStyle w:val="SRTextnomal"/>
      </w:pPr>
      <w:r w:rsidRPr="00972808">
        <w:t xml:space="preserve">Součástí těchto příjmů jsou i poplatky na činnost správních úřadů (podseskupení položek rozpočtové skladby 137). Jedná se o poplatek na činnost Energetického regulačního úřadu podle novely energetického zákona a dále poplatky Státnímu úřadu pro jadernou bezpečnost (udržovací poplatek podle atomového zákona), které jsou ve výši 0,9 mld. Kč. </w:t>
      </w:r>
    </w:p>
    <w:p w14:paraId="61D1A444" w14:textId="0EC94A96" w:rsidR="00C86343" w:rsidRPr="00972808" w:rsidRDefault="00C86343" w:rsidP="00C86343">
      <w:pPr>
        <w:pStyle w:val="SRTextnomal"/>
      </w:pPr>
      <w:r w:rsidRPr="00972808">
        <w:t>Součástí daňových příjmů jsou i poplatky za znečišťování životního prostředí (odvody na jaderný účet) a příjmy z úhrad za dobývání nerostů. Pro rok 2027 jsou rozpočtovány ve výši 5,4 mld. Kč, z toho úhrady z dobývacího prostoru a úhrady z vydobytých nerostů činí 0,4 mld. Kč ročně (týká se kapitol Ministerstva životního prostředí, Ministerstva průmyslu a obchodu a Českého báňského úřadu). V kapitole Ministerstvo financí a Ministerstvo životního prostředí jsou rozpočtovány prostředky za poplatky za znečišťování ovzduší a za využívání zdroje přírodní minerální vody ve výši 145 mil. Kč. Poplatky za uložení odpadů, které se týkají odvodů od původců radioaktivních odpadů na jaderný účet v kapitole Operace státních finančních aktiv, činí 2,8 mld. Kč v roce 2027.</w:t>
      </w:r>
      <w:r w:rsidR="002C047E" w:rsidRPr="00972808">
        <w:t xml:space="preserve"> Taktéž je v kapitole Ministerstvo zemědělství rozpočtován příjem ve výši 2 mld. Kč za poplatky za čerpání podzemních vod.</w:t>
      </w:r>
    </w:p>
    <w:p w14:paraId="6E1E09E0" w14:textId="5FFBC7B5" w:rsidR="00AD317C" w:rsidRPr="00972808" w:rsidRDefault="00A754C0" w:rsidP="00E05912">
      <w:pPr>
        <w:pStyle w:val="SRNadpis3"/>
        <w:rPr>
          <w:noProof/>
        </w:rPr>
      </w:pPr>
      <w:bookmarkStart w:id="76" w:name="_Toc239067819"/>
      <w:r w:rsidRPr="00972808">
        <w:t>Daňové úlevy za rok</w:t>
      </w:r>
      <w:r w:rsidR="00C5453A" w:rsidRPr="00972808">
        <w:t xml:space="preserve"> 20</w:t>
      </w:r>
      <w:bookmarkEnd w:id="75"/>
      <w:r w:rsidR="009D4083" w:rsidRPr="00972808">
        <w:t>2</w:t>
      </w:r>
      <w:r w:rsidR="00D654C2" w:rsidRPr="00972808">
        <w:t>4</w:t>
      </w:r>
      <w:bookmarkEnd w:id="76"/>
    </w:p>
    <w:p w14:paraId="7072F3F5" w14:textId="5EEEC310" w:rsidR="00AD317C" w:rsidRPr="00972808" w:rsidRDefault="00C5453A" w:rsidP="00AD317C">
      <w:pPr>
        <w:pStyle w:val="SRTextnomal"/>
      </w:pPr>
      <w:r w:rsidRPr="00972808">
        <w:rPr>
          <w:noProof/>
        </w:rPr>
        <w:t xml:space="preserve">Kvantifikace daňových úlev v České republice za </w:t>
      </w:r>
      <w:r w:rsidR="00D94A48" w:rsidRPr="00972808">
        <w:rPr>
          <w:noProof/>
        </w:rPr>
        <w:t>rok 202</w:t>
      </w:r>
      <w:r w:rsidR="00D654C2" w:rsidRPr="00972808">
        <w:rPr>
          <w:noProof/>
        </w:rPr>
        <w:t>4</w:t>
      </w:r>
      <w:r w:rsidRPr="00972808">
        <w:rPr>
          <w:noProof/>
        </w:rPr>
        <w:t xml:space="preserve"> </w:t>
      </w:r>
      <w:r w:rsidR="00A23A07" w:rsidRPr="00972808">
        <w:rPr>
          <w:noProof/>
        </w:rPr>
        <w:t>je</w:t>
      </w:r>
      <w:r w:rsidRPr="00972808">
        <w:rPr>
          <w:noProof/>
        </w:rPr>
        <w:t xml:space="preserve"> uvedena v příloze č. </w:t>
      </w:r>
      <w:r w:rsidR="003F0CA2" w:rsidRPr="00972808">
        <w:rPr>
          <w:noProof/>
        </w:rPr>
        <w:t>2</w:t>
      </w:r>
      <w:r w:rsidRPr="00972808">
        <w:rPr>
          <w:noProof/>
        </w:rPr>
        <w:t xml:space="preserve"> této zprávy.</w:t>
      </w:r>
      <w:bookmarkStart w:id="77" w:name="_Toc52369859"/>
    </w:p>
    <w:p w14:paraId="1BC40AE7" w14:textId="20BC8405" w:rsidR="00522BBC" w:rsidRPr="00972808" w:rsidRDefault="00CF04A9" w:rsidP="00E05912">
      <w:pPr>
        <w:pStyle w:val="SRNadpis2"/>
      </w:pPr>
      <w:bookmarkStart w:id="78" w:name="_Hlk220397174"/>
      <w:bookmarkStart w:id="79" w:name="_Toc239067820"/>
      <w:r w:rsidRPr="00972808">
        <w:lastRenderedPageBreak/>
        <w:t>Příjmy z pojistného na sociální zabezpečení a příspěvku na státní politiku zaměstnanosti</w:t>
      </w:r>
      <w:bookmarkEnd w:id="77"/>
      <w:bookmarkEnd w:id="79"/>
    </w:p>
    <w:p w14:paraId="35907F8D" w14:textId="0FDF95FB" w:rsidR="00392CC9" w:rsidRPr="00972808" w:rsidRDefault="00392CC9" w:rsidP="00392CC9">
      <w:pPr>
        <w:pStyle w:val="SRTextnomal"/>
      </w:pPr>
      <w:bookmarkStart w:id="80" w:name="_Toc80264003"/>
      <w:r w:rsidRPr="00972808">
        <w:t xml:space="preserve">Rozpočet příjmů z pojistného na sociální zabezpečení a příspěvku na státní politiku zaměstnanosti (dále jen pojistné na sociální zabezpečení) je sestaven na základě platných legislativních změn, podle vývoje očekávaného inkasa v roce 2026 a podle aktualizované predikce makroekonomických ukazatelů </w:t>
      </w:r>
      <w:r w:rsidRPr="00972808">
        <w:rPr>
          <w:color w:val="000000"/>
        </w:rPr>
        <w:t>ze srpna 2026</w:t>
      </w:r>
      <w:r w:rsidRPr="00972808">
        <w:t xml:space="preserve">. Opírá se zejména o dynamiku meziročního růstu objemu mezd a platů pro rok 2026 </w:t>
      </w:r>
      <w:r w:rsidRPr="00972808">
        <w:rPr>
          <w:color w:val="000000"/>
        </w:rPr>
        <w:t xml:space="preserve">(7,8 %) </w:t>
      </w:r>
      <w:r w:rsidRPr="00972808">
        <w:t xml:space="preserve">a rok 2027 </w:t>
      </w:r>
      <w:r w:rsidRPr="00972808">
        <w:rPr>
          <w:color w:val="000000"/>
        </w:rPr>
        <w:t xml:space="preserve">(6,2 %), </w:t>
      </w:r>
      <w:r w:rsidRPr="00972808">
        <w:t xml:space="preserve">ve které se promítá úroveň zaměstnanosti a výše pracovních příjmů. </w:t>
      </w:r>
    </w:p>
    <w:p w14:paraId="037A2628" w14:textId="77777777" w:rsidR="00392CC9" w:rsidRPr="00972808" w:rsidRDefault="00392CC9" w:rsidP="00392CC9">
      <w:pPr>
        <w:pStyle w:val="SRTextnomal"/>
        <w:rPr>
          <w:color w:val="000000"/>
        </w:rPr>
      </w:pPr>
      <w:r w:rsidRPr="00972808">
        <w:t xml:space="preserve">Sazby povinného odvodu pojistného na sociální zabezpečení se pro rok 2027 nemění a činí 31,9 %, z toho zaměstnavatel z úhrnu vyměřovacích základů zaměstnanců odvádí 28 % na důchodové pojištění (6,5 % za zaměstnance a 21,5 % za zaměstnavatele), 2,7 % na nemocenské pojištění (0,6 % za zaměstnance a 2,1 % za zaměstnavatele) a 1,2 % na státní politiku zaměstnanosti. Osoby samostatně výdělečně činné povinně odvádí ze zákonem stanoveného vyměřovacího základu 29,2 % na důchodové pojištění a na státní politiku zaměstnanosti. Maximální roční základ pro odvod pojistného na sociální zabezpečení zůstává na úrovni 48násobku průměrné měsíční mzdy. S ohledem na zákonnou úpravu správy pojistného jsou příjmy z pojistného na sociální zabezpečení rozpočtovány v kapitolách Ministerstvo práce a sociálních věcí, Ministerstvo obrany, Ministerstvo vnitra, </w:t>
      </w:r>
      <w:r w:rsidRPr="00972808">
        <w:rPr>
          <w:color w:val="000000"/>
        </w:rPr>
        <w:t xml:space="preserve">Ministerstvo spravedlnosti (Vězeňská služba ČR), </w:t>
      </w:r>
      <w:r w:rsidRPr="00972808">
        <w:t xml:space="preserve">Ministerstvo financí (Celní správa ČR) </w:t>
      </w:r>
      <w:r w:rsidRPr="00972808">
        <w:rPr>
          <w:color w:val="000000"/>
        </w:rPr>
        <w:t>a Generální inspekce bezpečnostních sborů.</w:t>
      </w:r>
    </w:p>
    <w:p w14:paraId="00168F85" w14:textId="77777777" w:rsidR="00392CC9" w:rsidRPr="00972808" w:rsidRDefault="00392CC9" w:rsidP="00392CC9">
      <w:pPr>
        <w:pStyle w:val="SRTextnomal"/>
      </w:pPr>
      <w:r w:rsidRPr="00972808">
        <w:t xml:space="preserve">Odhad celkových příjmů z pojistného na sociální zabezpečení pro rok 2027 činí </w:t>
      </w:r>
      <w:r w:rsidRPr="00DD054F">
        <w:rPr>
          <w:b/>
          <w:bCs/>
        </w:rPr>
        <w:t>923,4 mld. Kč</w:t>
      </w:r>
      <w:r w:rsidRPr="00972808">
        <w:t xml:space="preserve"> a je o 55,7 mld. Kč vyšší, než je rozpočtováno pro rok 2026 (tj. o 6,4 %). Z odhadu celkových příjmů z pojistného na sociální zabezpečení připadá na pojistné na důchodové pojištění pro rok 2027 (včetně příslušenství) 810,7 mld. Kč, tj. 87,8 %.</w:t>
      </w:r>
    </w:p>
    <w:p w14:paraId="7C8CA3A0" w14:textId="15DFFAD6" w:rsidR="00392CC9" w:rsidRPr="00972808" w:rsidRDefault="00392CC9" w:rsidP="00392CC9">
      <w:pPr>
        <w:pStyle w:val="SRTextnomal"/>
      </w:pPr>
      <w:r w:rsidRPr="00972808">
        <w:t xml:space="preserve">Příjmy z pojistného na sociální zabezpečení tvoří 44,3 % celkových příjmů státního rozpočtu (bez příjmů z EU a FM). Pokud se predikce příjmů z pojistného na sociální zabezpečení a výdajů na důchody v roce 2027 reálně naplní, příjmy z pojistného na důchodové pojištění přesáhnou výdaje na důchody a výdaje na správu důchodové agendy. V roce 2027 by se tak jednalo o přebytek důchodového systému ve výši cca 44,9 mld. Kč. Hospodaření tohoto systému od roku 2007 ukazuje graf </w:t>
      </w:r>
      <w:r w:rsidR="001C3468" w:rsidRPr="00972808">
        <w:t>níže</w:t>
      </w:r>
      <w:r w:rsidRPr="00972808">
        <w:t>.</w:t>
      </w:r>
    </w:p>
    <w:p w14:paraId="34146EAF" w14:textId="4BA530C9" w:rsidR="006E4339" w:rsidRPr="00972808" w:rsidRDefault="00426187" w:rsidP="000D440D">
      <w:pPr>
        <w:pStyle w:val="SRTitulek1"/>
        <w:rPr>
          <w:i/>
        </w:rPr>
      </w:pPr>
      <w:bookmarkStart w:id="81" w:name="_Toc239067877"/>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8</w:t>
      </w:r>
      <w:r w:rsidR="00391DA8" w:rsidRPr="00972808">
        <w:rPr>
          <w:noProof/>
        </w:rPr>
        <w:fldChar w:fldCharType="end"/>
      </w:r>
      <w:r w:rsidRPr="00972808">
        <w:t xml:space="preserve"> </w:t>
      </w:r>
      <w:r w:rsidR="006E4339" w:rsidRPr="00972808">
        <w:t xml:space="preserve">Vývoj </w:t>
      </w:r>
      <w:r w:rsidR="001D330E" w:rsidRPr="00972808">
        <w:t xml:space="preserve">příjmů z pojistného na sociální zabezpečení </w:t>
      </w:r>
      <w:r w:rsidR="00B41049" w:rsidRPr="00972808">
        <w:rPr>
          <w:i/>
        </w:rPr>
        <w:t>(v mld</w:t>
      </w:r>
      <w:r w:rsidR="006E4339" w:rsidRPr="00972808">
        <w:rPr>
          <w:i/>
        </w:rPr>
        <w:t>. Kč)</w:t>
      </w:r>
      <w:bookmarkEnd w:id="80"/>
      <w:bookmarkEnd w:id="81"/>
    </w:p>
    <w:p w14:paraId="3B556B0A" w14:textId="3D0891E5" w:rsidR="00522BBC" w:rsidRPr="00972808" w:rsidRDefault="007E74CC" w:rsidP="00621B68">
      <w:pPr>
        <w:pStyle w:val="SRTextnomal"/>
      </w:pPr>
      <w:r w:rsidRPr="00972808">
        <w:rPr>
          <w:noProof/>
        </w:rPr>
        <w:drawing>
          <wp:inline distT="0" distB="0" distL="0" distR="0" wp14:anchorId="725ACB66" wp14:editId="5CCF65D8">
            <wp:extent cx="6120130" cy="1136015"/>
            <wp:effectExtent l="0" t="0" r="0" b="698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1136015"/>
                    </a:xfrm>
                    <a:prstGeom prst="rect">
                      <a:avLst/>
                    </a:prstGeom>
                    <a:noFill/>
                    <a:ln>
                      <a:noFill/>
                    </a:ln>
                  </pic:spPr>
                </pic:pic>
              </a:graphicData>
            </a:graphic>
          </wp:inline>
        </w:drawing>
      </w:r>
    </w:p>
    <w:p w14:paraId="4703CA61" w14:textId="7F2F4DBE" w:rsidR="00931B27" w:rsidRPr="00972808" w:rsidRDefault="00931B27" w:rsidP="00931B27">
      <w:pPr>
        <w:pStyle w:val="SRTitulek1"/>
        <w:rPr>
          <w:i/>
        </w:rPr>
      </w:pPr>
      <w:bookmarkStart w:id="82" w:name="_Toc239067914"/>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5</w:t>
      </w:r>
      <w:r w:rsidR="00391DA8" w:rsidRPr="00972808">
        <w:rPr>
          <w:noProof/>
        </w:rPr>
        <w:fldChar w:fldCharType="end"/>
      </w:r>
      <w:r w:rsidRPr="00972808">
        <w:t xml:space="preserve"> </w:t>
      </w:r>
      <w:r w:rsidR="003437E9" w:rsidRPr="00972808">
        <w:t xml:space="preserve">Hospodaření důchodového systému od roku 2007 </w:t>
      </w:r>
      <w:r w:rsidR="003437E9" w:rsidRPr="00972808">
        <w:rPr>
          <w:i/>
        </w:rPr>
        <w:t>(v mld. Kč)</w:t>
      </w:r>
      <w:bookmarkEnd w:id="82"/>
    </w:p>
    <w:p w14:paraId="780B478F" w14:textId="6D27BEEF" w:rsidR="00621B68" w:rsidRPr="00972808" w:rsidRDefault="007E74CC" w:rsidP="00522BBC">
      <w:pPr>
        <w:pStyle w:val="SRTextnomal"/>
      </w:pPr>
      <w:r w:rsidRPr="00972808">
        <w:rPr>
          <w:noProof/>
        </w:rPr>
        <w:drawing>
          <wp:inline distT="0" distB="0" distL="0" distR="0" wp14:anchorId="3D79BE6F" wp14:editId="7A3FE2AB">
            <wp:extent cx="5199640" cy="3019425"/>
            <wp:effectExtent l="0" t="0" r="127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22705" cy="3032819"/>
                    </a:xfrm>
                    <a:prstGeom prst="rect">
                      <a:avLst/>
                    </a:prstGeom>
                    <a:noFill/>
                  </pic:spPr>
                </pic:pic>
              </a:graphicData>
            </a:graphic>
          </wp:inline>
        </w:drawing>
      </w:r>
    </w:p>
    <w:p w14:paraId="018C825C" w14:textId="77777777" w:rsidR="00727365" w:rsidRPr="00972808" w:rsidRDefault="00727365" w:rsidP="00727365">
      <w:pPr>
        <w:pStyle w:val="SRNadpis2"/>
      </w:pPr>
      <w:bookmarkStart w:id="83" w:name="_Toc80264004"/>
      <w:bookmarkStart w:id="84" w:name="_Hlk220841648"/>
      <w:bookmarkStart w:id="85" w:name="_Toc239067821"/>
      <w:bookmarkEnd w:id="78"/>
      <w:r w:rsidRPr="00972808">
        <w:lastRenderedPageBreak/>
        <w:t>Ostatní příjmy</w:t>
      </w:r>
      <w:bookmarkEnd w:id="85"/>
    </w:p>
    <w:p w14:paraId="0671BE8B" w14:textId="63FF69B5" w:rsidR="006E4339" w:rsidRPr="00972808" w:rsidRDefault="006E4339" w:rsidP="000D440D">
      <w:pPr>
        <w:pStyle w:val="SRTitulek1"/>
        <w:rPr>
          <w:i/>
        </w:rPr>
      </w:pPr>
      <w:bookmarkStart w:id="86" w:name="_Toc239067878"/>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9</w:t>
      </w:r>
      <w:r w:rsidR="00391DA8" w:rsidRPr="00972808">
        <w:rPr>
          <w:noProof/>
        </w:rPr>
        <w:fldChar w:fldCharType="end"/>
      </w:r>
      <w:r w:rsidRPr="00972808">
        <w:t xml:space="preserve"> Vývoj ostatních příjmů </w:t>
      </w:r>
      <w:r w:rsidRPr="00972808">
        <w:rPr>
          <w:i/>
        </w:rPr>
        <w:t>(v mil. Kč)</w:t>
      </w:r>
      <w:bookmarkEnd w:id="83"/>
      <w:bookmarkEnd w:id="86"/>
    </w:p>
    <w:p w14:paraId="0AE1B556" w14:textId="02D8E282" w:rsidR="00522BBC" w:rsidRPr="00972808" w:rsidRDefault="00473567" w:rsidP="0094783E">
      <w:pPr>
        <w:pStyle w:val="SRTextnomal"/>
      </w:pPr>
      <w:r w:rsidRPr="00972808">
        <w:rPr>
          <w:noProof/>
        </w:rPr>
        <w:drawing>
          <wp:inline distT="0" distB="0" distL="0" distR="0" wp14:anchorId="7347125F" wp14:editId="3EE561E0">
            <wp:extent cx="6120130" cy="160210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1602105"/>
                    </a:xfrm>
                    <a:prstGeom prst="rect">
                      <a:avLst/>
                    </a:prstGeom>
                    <a:noFill/>
                    <a:ln>
                      <a:noFill/>
                    </a:ln>
                  </pic:spPr>
                </pic:pic>
              </a:graphicData>
            </a:graphic>
          </wp:inline>
        </w:drawing>
      </w:r>
    </w:p>
    <w:p w14:paraId="762BCD70" w14:textId="77777777" w:rsidR="00522BBC" w:rsidRPr="00972808" w:rsidRDefault="00522BBC" w:rsidP="0094783E">
      <w:pPr>
        <w:pStyle w:val="SRTextnomal"/>
      </w:pPr>
    </w:p>
    <w:p w14:paraId="77C3C093" w14:textId="78638A52" w:rsidR="00473567" w:rsidRPr="00972808" w:rsidRDefault="00473567" w:rsidP="00473567">
      <w:pPr>
        <w:pStyle w:val="SRTextnomal"/>
      </w:pPr>
      <w:bookmarkStart w:id="87" w:name="_Toc52369861"/>
      <w:r w:rsidRPr="00972808">
        <w:t xml:space="preserve">Nedaňové příjmy, kapitálové příjmy a přijaté transfery jsou rozpočtovány pro rok 2027 ve výši 166,6 mld. Kč. Ve srovnání se státním rozpočtem na rok 2026 jsou celkově nižší o 35,8 mld. Kč. </w:t>
      </w:r>
      <w:r w:rsidR="006B2379" w:rsidRPr="00972808">
        <w:t xml:space="preserve">Tento pokles je dán zejména snížením příjmů u rozpočtu EU a dále také tím, že příjmy z emisních povolenek, které se souvztažně rozpočtují s příslušnými výdaji, budou do návrhu rozpočtu zapracovány </w:t>
      </w:r>
      <w:r w:rsidR="000E1456" w:rsidRPr="00972808">
        <w:t>v další fázi rozpočtového procesu</w:t>
      </w:r>
      <w:r w:rsidR="00FE6B4A" w:rsidRPr="00972808">
        <w:t xml:space="preserve"> </w:t>
      </w:r>
      <w:r w:rsidR="0056250D" w:rsidRPr="00972808">
        <w:t>po schválení vládou na základě návrhu Rady pro využití výnosů z dražeb povolenek</w:t>
      </w:r>
      <w:r w:rsidR="000E1456" w:rsidRPr="00972808">
        <w:t>.</w:t>
      </w:r>
      <w:r w:rsidR="00FE6B4A" w:rsidRPr="00972808">
        <w:t xml:space="preserve"> Detailní pohled na skladbu a meziroční vývoj těchto příjmů je součástí následujících subkapitol.</w:t>
      </w:r>
    </w:p>
    <w:p w14:paraId="56D1C716" w14:textId="0044AE07" w:rsidR="00522BBC" w:rsidRPr="00972808" w:rsidRDefault="00CF04A9" w:rsidP="00E05912">
      <w:pPr>
        <w:pStyle w:val="SRNadpis3"/>
      </w:pPr>
      <w:bookmarkStart w:id="88" w:name="_Toc239067822"/>
      <w:r w:rsidRPr="00972808">
        <w:t>Nedaňové příjmy</w:t>
      </w:r>
      <w:bookmarkEnd w:id="87"/>
      <w:bookmarkEnd w:id="88"/>
    </w:p>
    <w:p w14:paraId="10374EAF" w14:textId="77777777" w:rsidR="00473567" w:rsidRPr="00972808" w:rsidRDefault="00473567" w:rsidP="00473567">
      <w:pPr>
        <w:pStyle w:val="SRTextnomal"/>
      </w:pPr>
      <w:r w:rsidRPr="00972808">
        <w:t xml:space="preserve">Nedaňové příjmy tvoří především příjmy jednotlivých kapitol za služby, které poskytují veřejnosti. Dále to jsou přijaté vratky dotací, pokuty a jiné sankční platby, příjmy z prodeje nekapitálového majetku, přijaté splátky návratných finančních výpomocí a ostatní příjmy. </w:t>
      </w:r>
    </w:p>
    <w:p w14:paraId="34D23FD4" w14:textId="77777777" w:rsidR="00473567" w:rsidRPr="00972808" w:rsidRDefault="00473567" w:rsidP="00473567">
      <w:pPr>
        <w:pStyle w:val="SRTextnomal"/>
        <w:keepNext/>
      </w:pPr>
      <w:r w:rsidRPr="00972808">
        <w:t>U tohoto druhu příjmů se předpokládá zvýšení celkového objemu oproti roku 2026 o 2,7 mld. Kč, tj. na částku 38,1 mld. Kč. Odhady jednotlivých položek vycházejí z těchto předpokladů:</w:t>
      </w:r>
    </w:p>
    <w:p w14:paraId="00E780F6" w14:textId="77777777" w:rsidR="00473567" w:rsidRPr="00972808" w:rsidRDefault="00473567" w:rsidP="00344F6B">
      <w:pPr>
        <w:pStyle w:val="SROdrka1"/>
      </w:pPr>
      <w:r w:rsidRPr="00972808">
        <w:t xml:space="preserve">Celková výše příjmů z vlastní činnosti se rozpočtuje ve výši 4,4 mld. Kč, tj. meziroční nárůst o 1,9 mld. Kč, který je způsoben zejména zvýšením příjmů v kapitole Český telekomunikační úřad v souvislosti s příjmem za licence mobilním operátorům. </w:t>
      </w:r>
    </w:p>
    <w:p w14:paraId="4C4B01C8" w14:textId="49D28507" w:rsidR="00473567" w:rsidRPr="00972808" w:rsidRDefault="00473567" w:rsidP="00344F6B">
      <w:pPr>
        <w:pStyle w:val="SROdrka1"/>
      </w:pPr>
      <w:r w:rsidRPr="00972808">
        <w:t>Odvody organizací jsou rozpočtovány ve výši 10,1 mld. Kč, tj. o 2,7 mld. Kč méně než v roce 2026. V kapitole Ministerstvo dopravy dochází k poklesu příjmů z odvod</w:t>
      </w:r>
      <w:r w:rsidR="001C3468" w:rsidRPr="00972808">
        <w:t>ů</w:t>
      </w:r>
      <w:r w:rsidRPr="00972808">
        <w:t xml:space="preserve"> plynoucí</w:t>
      </w:r>
      <w:r w:rsidR="001C3468" w:rsidRPr="00972808">
        <w:t>ch</w:t>
      </w:r>
      <w:r w:rsidRPr="00972808">
        <w:t xml:space="preserve"> ze státních pro rok 2027 o 3 mld. Kč na úroveň 100 mil. Kč. Dále meziročně klesá odvod v kapitole Ministerstvo financí o 800 mil. Kč meziročně na úroveň 300</w:t>
      </w:r>
      <w:r w:rsidR="007B6344" w:rsidRPr="00972808">
        <w:t> </w:t>
      </w:r>
      <w:r w:rsidRPr="00972808">
        <w:t>mil.</w:t>
      </w:r>
      <w:r w:rsidR="007B6344" w:rsidRPr="00972808">
        <w:t> </w:t>
      </w:r>
      <w:r w:rsidRPr="00972808">
        <w:t>Kč. Meziročně vyšší odvod se rozpočtuje naopak v kapitole Ministerstvo zemědělství, a to o 400 mil. Kč na úroveň 4 mld. Kč.  Dále se rozpočtuje meziročně vyšší odvod u kapitoly Všeobecná pokladní správa z přebytků ze zákonného pojištění odpovědnosti zaměstnavatele za škodu o 700 mil. Kč meziročně na úroveň 5,4 mld. Kč.</w:t>
      </w:r>
    </w:p>
    <w:p w14:paraId="74903A22" w14:textId="185FDDAB" w:rsidR="00473567" w:rsidRPr="00972808" w:rsidRDefault="00473567" w:rsidP="00344F6B">
      <w:pPr>
        <w:pStyle w:val="SROdrka1"/>
      </w:pPr>
      <w:r w:rsidRPr="00972808">
        <w:t>Přijaté výnosy z finančního majetku se rozpočtují ve výši 10,2 mld. Kč, tj. celkově o 4,2 mld. Kč více než v roce 2026. Součástí jsou i příjmy z dividend v kapitole Ministerstvo průmyslu a obchodu (</w:t>
      </w:r>
      <w:r w:rsidR="003258A2" w:rsidRPr="00972808">
        <w:t xml:space="preserve">zejm. </w:t>
      </w:r>
      <w:r w:rsidRPr="00972808">
        <w:t xml:space="preserve">Česká energetická přenosová soustava - ČEPS, a.s.) ve výši 5 mld. Kč pro rok 2027, což představuje meziroční navýšení o 1 mld. Kč a v kapitole Operace státních finančních aktiv jsou zahrnuty úrokové výnosy z finančního investování na jaderném účtu a příjmy z dividend ve výši 5,2 mld. Kč (tj. o 3,25 mld. Kč více než v roce 2026). </w:t>
      </w:r>
    </w:p>
    <w:p w14:paraId="5C1325E8" w14:textId="5F3AC855" w:rsidR="00473567" w:rsidRPr="00972808" w:rsidRDefault="00473567" w:rsidP="00344F6B">
      <w:pPr>
        <w:pStyle w:val="SROdrka1"/>
      </w:pPr>
      <w:r w:rsidRPr="00972808">
        <w:t xml:space="preserve">Příjmy ze sankčních plateb se odhadují ve výši 2,4 mld. Kč, tj. o 166 mil. Kč více než v roce 2026. Nárůst se týká kapitoly Ministerstvo zemědělství o 89,1 mil. Kč, kapitoly Ministerstvo průmyslu a obchodu o 44,5 mil. Kč a dále u </w:t>
      </w:r>
      <w:r w:rsidR="001C3468" w:rsidRPr="00972808">
        <w:t xml:space="preserve">kapitoly </w:t>
      </w:r>
      <w:r w:rsidRPr="00972808">
        <w:t xml:space="preserve">Ministerstvo spravedlnosti o 25,8 mil. Kč. </w:t>
      </w:r>
    </w:p>
    <w:p w14:paraId="65A22359" w14:textId="77777777" w:rsidR="00473567" w:rsidRPr="00972808" w:rsidRDefault="00473567" w:rsidP="00344F6B">
      <w:pPr>
        <w:pStyle w:val="SROdrka1"/>
      </w:pPr>
      <w:r w:rsidRPr="00972808">
        <w:t>Příjmy z dobrovolného pojistného na sociální zabezpečení (kapitola Ministerstvo práce a sociálních věcí) se očekávají ve výši 910 mil. Kč, tj. stejná úroveň jako v roce 2026.</w:t>
      </w:r>
    </w:p>
    <w:p w14:paraId="18330705" w14:textId="70D0E22C" w:rsidR="00473567" w:rsidRPr="00972808" w:rsidRDefault="00473567" w:rsidP="00344F6B">
      <w:pPr>
        <w:pStyle w:val="SROdrka1"/>
      </w:pPr>
      <w:r w:rsidRPr="00972808">
        <w:t xml:space="preserve">Ostatní příjmy (příjmy z pronájmu majetku, přijaté vratky transferů, příjmy z prodeje krátkodobého a drobného dlouhodobého majetku, ostatní nedaňové příjmy, příjmy z využívání výhradních práv k přírodním zdrojům, příjmy za využívání dalších majetkových práv) se rozpočtují ve výši 6,3 mld. Kč, tj. o 0,4 mld. Kč více než v roce 2026. S vyššími příjmy počítá Ministerstvo práce a sociálních věcí o 200 mil. Kč, Ministerstvo vnitra o 115 mil. Kč, Ministerstvo pro místní rozvoj o 50 mil. Kč, Ministerstvo dopravy o 25 mil. Kč, Ministerstvo spravedlnosti </w:t>
      </w:r>
      <w:r w:rsidRPr="00972808">
        <w:lastRenderedPageBreak/>
        <w:t>o</w:t>
      </w:r>
      <w:r w:rsidR="00177E3B" w:rsidRPr="00972808">
        <w:t> </w:t>
      </w:r>
      <w:r w:rsidRPr="00972808">
        <w:t>124</w:t>
      </w:r>
      <w:r w:rsidR="00FE6B4A" w:rsidRPr="00972808">
        <w:t> </w:t>
      </w:r>
      <w:r w:rsidRPr="00972808">
        <w:t>mil.</w:t>
      </w:r>
      <w:r w:rsidR="00FE6B4A" w:rsidRPr="00972808">
        <w:t> </w:t>
      </w:r>
      <w:r w:rsidRPr="00972808">
        <w:t xml:space="preserve">Kč </w:t>
      </w:r>
      <w:r w:rsidR="00560CDC" w:rsidRPr="00972808">
        <w:t>a</w:t>
      </w:r>
      <w:r w:rsidRPr="00972808">
        <w:t xml:space="preserve"> Národní sportovní agentura o 10 mil. Kč více. Meziroční pokles o 93,7 mil. Kč očekává Ministerstvo zemědělství, dále pokles o 29,5 mil. Kč očekává Ministerstvo obrany </w:t>
      </w:r>
      <w:r w:rsidR="00560CDC" w:rsidRPr="00972808">
        <w:t>a</w:t>
      </w:r>
      <w:r w:rsidRPr="00972808">
        <w:t xml:space="preserve"> o 11 mil. Kč Ministerstvo životního prostředí.</w:t>
      </w:r>
    </w:p>
    <w:p w14:paraId="78A0FDB1" w14:textId="0DC43A5F" w:rsidR="00473567" w:rsidRPr="00972808" w:rsidRDefault="00473567" w:rsidP="00344F6B">
      <w:pPr>
        <w:pStyle w:val="SROdrka1"/>
      </w:pPr>
      <w:r w:rsidRPr="00972808">
        <w:t>V návaznosti na splátkové kalendáře se rozpočtují příjmy ze splátek návratných finančních výpomocí ve výši 0,3</w:t>
      </w:r>
      <w:r w:rsidR="00FE6B4A" w:rsidRPr="00972808">
        <w:t> </w:t>
      </w:r>
      <w:r w:rsidRPr="00972808">
        <w:t>mld. Kč (celkový pokles o 825 mil. Kč meziročně) zejména v kapitole Ministerstvo průmyslu a obchodu, kde se již nerozpočtuje návratná finanční výpomoc ČVUT, tj. meziroční pokles o 870,3 mil. Kč, naopak nárůst je rozpočtován v kapitole Ministerstvo dopravy o 100 mil. Kč meziročně. Příjmy ze zahraničních pohledávek se pro rok 2027 rozpočtují ve výši 120 mil. Kč (pokles o 53 mil. Kč meziročně).</w:t>
      </w:r>
    </w:p>
    <w:p w14:paraId="533155F4" w14:textId="77777777" w:rsidR="00473567" w:rsidRPr="00972808" w:rsidRDefault="00473567" w:rsidP="00344F6B">
      <w:pPr>
        <w:pStyle w:val="SROdrka1"/>
      </w:pPr>
      <w:r w:rsidRPr="00972808">
        <w:t>Příjmy sdílené s Evropskou unií (jedná se o 25 % výnosu z cel, které podle práva Evropské unie zůstávají ponechány členským státům na úhradu nákladů spojených s jejich výběrem) se rozpočtují ve výši 3,5 mld. Kč, tj. o 0,4 mld. Kč méně než v roce 2026.</w:t>
      </w:r>
    </w:p>
    <w:p w14:paraId="18F8147D" w14:textId="0BD7DB31" w:rsidR="00522BBC" w:rsidRPr="00972808" w:rsidRDefault="00AC1E17" w:rsidP="00E05912">
      <w:pPr>
        <w:pStyle w:val="SRNadpis3"/>
      </w:pPr>
      <w:bookmarkStart w:id="89" w:name="_Toc239067823"/>
      <w:r w:rsidRPr="00972808">
        <w:t>Kapitálové příjmy</w:t>
      </w:r>
      <w:bookmarkEnd w:id="89"/>
    </w:p>
    <w:p w14:paraId="474EF1F9" w14:textId="6A7BEB76" w:rsidR="00473567" w:rsidRPr="00972808" w:rsidRDefault="00473567" w:rsidP="00473567">
      <w:pPr>
        <w:pStyle w:val="SRTextnomal"/>
      </w:pPr>
      <w:bookmarkStart w:id="90" w:name="_Toc52369863"/>
      <w:bookmarkStart w:id="91" w:name="_Ref207113110"/>
      <w:bookmarkStart w:id="92" w:name="_Ref209949215"/>
      <w:bookmarkStart w:id="93" w:name="_Ref220834115"/>
      <w:r w:rsidRPr="00972808">
        <w:t xml:space="preserve">Do této kategorie patří především příjmy z prodeje dlouhodobého majetku. Rozpočtovaná částka pro rok 2027 činí 1,6 mld. Kč (meziroční pokles o 3,7 mld. Kč). </w:t>
      </w:r>
      <w:r w:rsidR="00FE6B4A" w:rsidRPr="00972808">
        <w:t xml:space="preserve">V této rozpočtové kategorii nejsou v této fázi rozpočtových prací zachyceny příjmy </w:t>
      </w:r>
      <w:r w:rsidRPr="00972808">
        <w:t>z obchodování s povolenkami na emise skleníkových plynů (zákon č. 383/2012 Sb</w:t>
      </w:r>
      <w:r w:rsidR="00FE6B4A" w:rsidRPr="00972808">
        <w:t xml:space="preserve">.), které se týkají kapitol </w:t>
      </w:r>
      <w:r w:rsidRPr="00972808">
        <w:t>Ministerstvo životního prostředí</w:t>
      </w:r>
      <w:r w:rsidR="00FE6B4A" w:rsidRPr="00972808">
        <w:t xml:space="preserve"> a</w:t>
      </w:r>
      <w:r w:rsidRPr="00972808">
        <w:t xml:space="preserve"> Ministerstvo průmyslu a obchodu. </w:t>
      </w:r>
    </w:p>
    <w:p w14:paraId="3AA5B26D" w14:textId="77777777" w:rsidR="00473567" w:rsidRPr="00972808" w:rsidRDefault="00473567" w:rsidP="00473567">
      <w:pPr>
        <w:pStyle w:val="SRTextnomal"/>
      </w:pPr>
      <w:r w:rsidRPr="00972808">
        <w:t xml:space="preserve">Dále klesají kapitálové příjmy v kapitole Ministerstvo financí o 0,5 mld. Kč na úroveň 0,3 mld. Kč či v kapitole Ministerstva zemědělství o 59,5 mil. Kč na úroveň 1,25 mld. Kč.  </w:t>
      </w:r>
    </w:p>
    <w:p w14:paraId="017A9CEE" w14:textId="301EA08B" w:rsidR="009E08ED" w:rsidRPr="00972808" w:rsidRDefault="00CF04A9" w:rsidP="00E05912">
      <w:pPr>
        <w:pStyle w:val="SRNadpis3"/>
      </w:pPr>
      <w:bookmarkStart w:id="94" w:name="_Toc239067824"/>
      <w:r w:rsidRPr="00972808">
        <w:t>Přijaté transfery</w:t>
      </w:r>
      <w:bookmarkEnd w:id="90"/>
      <w:bookmarkEnd w:id="91"/>
      <w:bookmarkEnd w:id="92"/>
      <w:bookmarkEnd w:id="93"/>
      <w:bookmarkEnd w:id="94"/>
    </w:p>
    <w:p w14:paraId="59777698" w14:textId="698D7503" w:rsidR="00473567" w:rsidRPr="00972808" w:rsidRDefault="00473567" w:rsidP="00473567">
      <w:pPr>
        <w:pStyle w:val="SRTextnomal"/>
      </w:pPr>
      <w:bookmarkStart w:id="95" w:name="_Toc52369864"/>
      <w:bookmarkEnd w:id="84"/>
      <w:r w:rsidRPr="00972808">
        <w:t>Celkové přijaté transfery se meziročně snižují o 34,8 mld. Kč, přičemž meziročně přijaté prostředky z EU a FM (bez vlivu úč. operací PRV) klesají o 32,5 mld. Kč, národní transfery do státního rozpočtu se meziročně snižují o 2,4 mld. Kč. V</w:t>
      </w:r>
      <w:r w:rsidR="00177E3B" w:rsidRPr="00972808">
        <w:t> </w:t>
      </w:r>
      <w:r w:rsidRPr="00972808">
        <w:t xml:space="preserve">kapitole Všeobecná pokladní správa je meziročně počítáno s nárůstem o 2,3 mld. Kč u příjmu ze zvláštních účtů MF na úroveň 17 mld. Kč v roce 2027. </w:t>
      </w:r>
    </w:p>
    <w:p w14:paraId="570D7C0F" w14:textId="19DB8A80" w:rsidR="00473567" w:rsidRPr="00972808" w:rsidRDefault="00473567" w:rsidP="00473567">
      <w:pPr>
        <w:pStyle w:val="SRTextnomal"/>
      </w:pPr>
      <w:r w:rsidRPr="00972808">
        <w:t xml:space="preserve">V této kategorii příjmů jsou rozpočtovány příjmy z rozpočtu Evropské unie ve výši 105,8 mld. Kč (meziroční pokles o 32,7 mld. Kč), příjmy na financování projektů finančních mechanismů v objemu 1 mld. </w:t>
      </w:r>
      <w:r w:rsidR="00560CDC" w:rsidRPr="00972808">
        <w:t>K</w:t>
      </w:r>
      <w:r w:rsidRPr="00972808">
        <w:t>č (meziroční nárůst o 283,8 mil.</w:t>
      </w:r>
      <w:r w:rsidR="00177E3B" w:rsidRPr="00972808">
        <w:t> </w:t>
      </w:r>
      <w:r w:rsidRPr="00972808">
        <w:t>Kč).</w:t>
      </w:r>
    </w:p>
    <w:p w14:paraId="3B5D394B" w14:textId="77777777" w:rsidR="00473567" w:rsidRPr="00972808" w:rsidRDefault="00473567" w:rsidP="00473567">
      <w:pPr>
        <w:pStyle w:val="SRTextnomal"/>
      </w:pPr>
      <w:r w:rsidRPr="00972808">
        <w:t xml:space="preserve">Dále se počítá v kapitole Ministerstvo průmyslu a obchodu s příjmy ze zvláštních účtů MF ve výši 1,3 mld. Kč k úhradě nákladů a výdajů spojených s řešením důsledků po chemické těžbě uranu a souvisejících činností v oblasti Stráže pod Ralskem podle usnesení vlády č. 176/2022. </w:t>
      </w:r>
    </w:p>
    <w:p w14:paraId="026BD707" w14:textId="17FD931C" w:rsidR="00473567" w:rsidRPr="00972808" w:rsidRDefault="00473567" w:rsidP="00473567">
      <w:pPr>
        <w:pStyle w:val="SRTextnomal"/>
      </w:pPr>
      <w:r w:rsidRPr="00972808">
        <w:t>V neposlední řadě se v kapitole Ministerstvo zemědělství rozpočtují v rámci účetní operace PRV prostředky ve výši 1</w:t>
      </w:r>
      <w:r w:rsidR="0056250D" w:rsidRPr="00972808">
        <w:t> </w:t>
      </w:r>
      <w:r w:rsidRPr="00972808">
        <w:t>mld.</w:t>
      </w:r>
      <w:r w:rsidR="0056250D" w:rsidRPr="00972808">
        <w:t> </w:t>
      </w:r>
      <w:r w:rsidRPr="00972808">
        <w:t>Kč (tj. meziroční nárůst o 50 mil. Kč). V roce 2027 Státní pozemkový úřad plánuje financovat z národních zdrojů akce pozemkových úprav ve výši 1 mld. Kč a poté přijme ve stejné výši i prostředky ze Státního zemědělského intervenčního fondu. Zrcadlově pak tato operace probíhá v kapitole Ministerstvo zemědělství jako operace s EU prostředky, které jsou poskytovány Státnímu zemědělskému intervenčnímu fondu a poté přijímány z rozpočtu EU do příjmů kapitoly Ministerstvo zemědělství.</w:t>
      </w:r>
    </w:p>
    <w:p w14:paraId="5C2E2A94" w14:textId="7A87EB67" w:rsidR="009E08ED" w:rsidRPr="00972808" w:rsidRDefault="00A57316" w:rsidP="00E05912">
      <w:pPr>
        <w:pStyle w:val="SRNadpis1"/>
      </w:pPr>
      <w:bookmarkStart w:id="96" w:name="_Toc239067825"/>
      <w:r w:rsidRPr="00972808">
        <w:lastRenderedPageBreak/>
        <w:t>Detailní pohled na výdaje</w:t>
      </w:r>
      <w:bookmarkEnd w:id="95"/>
      <w:bookmarkEnd w:id="96"/>
    </w:p>
    <w:p w14:paraId="0059AC7F" w14:textId="7348F6B3" w:rsidR="009E08ED" w:rsidRPr="00972808" w:rsidRDefault="008C634B" w:rsidP="009E08ED">
      <w:pPr>
        <w:pStyle w:val="SRTextnomal"/>
      </w:pPr>
      <w:r w:rsidRPr="00972808">
        <w:t>Celkové rozpočtové výdaje dosahují ve státním rozpočtu v roce</w:t>
      </w:r>
      <w:r w:rsidR="00CB1CF8" w:rsidRPr="00972808">
        <w:t xml:space="preserve"> </w:t>
      </w:r>
      <w:r w:rsidR="008F1D2E" w:rsidRPr="00972808">
        <w:t>202</w:t>
      </w:r>
      <w:r w:rsidR="00D654C2" w:rsidRPr="00972808">
        <w:t>7</w:t>
      </w:r>
      <w:r w:rsidR="00CB1CF8" w:rsidRPr="00972808">
        <w:t xml:space="preserve"> objemu</w:t>
      </w:r>
      <w:r w:rsidR="00BB5017" w:rsidRPr="00972808">
        <w:rPr>
          <w:b/>
        </w:rPr>
        <w:t> </w:t>
      </w:r>
      <w:r w:rsidR="00752666" w:rsidRPr="00972808">
        <w:rPr>
          <w:b/>
        </w:rPr>
        <w:t>2 578,2</w:t>
      </w:r>
      <w:r w:rsidR="00005417" w:rsidRPr="00972808">
        <w:rPr>
          <w:b/>
        </w:rPr>
        <w:t> </w:t>
      </w:r>
      <w:r w:rsidR="00CB1CF8" w:rsidRPr="00972808">
        <w:rPr>
          <w:b/>
        </w:rPr>
        <w:t>mld. Kč</w:t>
      </w:r>
      <w:r w:rsidR="00CB1CF8" w:rsidRPr="00972808">
        <w:t>. Při meziročním srovnání celkových výdaj</w:t>
      </w:r>
      <w:r w:rsidR="00F62789" w:rsidRPr="00972808">
        <w:t>ů státního rozpočtu</w:t>
      </w:r>
      <w:r w:rsidR="00CB1CF8" w:rsidRPr="00972808">
        <w:t xml:space="preserve"> dochází k</w:t>
      </w:r>
      <w:r w:rsidR="0011278F" w:rsidRPr="00972808">
        <w:t> </w:t>
      </w:r>
      <w:r w:rsidR="000A0CC0" w:rsidRPr="00972808">
        <w:t>nárůstu</w:t>
      </w:r>
      <w:r w:rsidR="0011278F" w:rsidRPr="00972808">
        <w:t xml:space="preserve"> </w:t>
      </w:r>
      <w:r w:rsidR="00633C69" w:rsidRPr="00972808">
        <w:t>o</w:t>
      </w:r>
      <w:r w:rsidR="00752666" w:rsidRPr="00972808">
        <w:t> 1</w:t>
      </w:r>
      <w:r w:rsidR="00382E61" w:rsidRPr="00972808">
        <w:t>50,4</w:t>
      </w:r>
      <w:r w:rsidR="000E2730" w:rsidRPr="00972808">
        <w:t> </w:t>
      </w:r>
      <w:r w:rsidR="00CB1CF8" w:rsidRPr="00972808">
        <w:t>mld.</w:t>
      </w:r>
      <w:r w:rsidR="000E2730" w:rsidRPr="00972808">
        <w:t xml:space="preserve"> </w:t>
      </w:r>
      <w:r w:rsidR="00CB1CF8" w:rsidRPr="00972808">
        <w:t>Kč.</w:t>
      </w:r>
      <w:bookmarkStart w:id="97" w:name="_Toc80264005"/>
    </w:p>
    <w:p w14:paraId="4384660C" w14:textId="26C52AF5" w:rsidR="00007ACB" w:rsidRPr="00972808" w:rsidRDefault="00007ACB" w:rsidP="000D440D">
      <w:pPr>
        <w:pStyle w:val="SRTitulek1"/>
      </w:pPr>
      <w:bookmarkStart w:id="98" w:name="_Toc239067879"/>
      <w:r w:rsidRPr="00972808">
        <w:t xml:space="preserve">Tabulka </w:t>
      </w:r>
      <w:r w:rsidR="00D51A96" w:rsidRPr="00972808">
        <w:fldChar w:fldCharType="begin"/>
      </w:r>
      <w:r w:rsidR="00D51A96" w:rsidRPr="00972808">
        <w:instrText xml:space="preserve"> SEQ Tabulka \* ARABIC </w:instrText>
      </w:r>
      <w:r w:rsidR="00D51A96" w:rsidRPr="00972808">
        <w:fldChar w:fldCharType="separate"/>
      </w:r>
      <w:r w:rsidR="00344480">
        <w:rPr>
          <w:noProof/>
        </w:rPr>
        <w:t>10</w:t>
      </w:r>
      <w:r w:rsidR="00D51A96" w:rsidRPr="00972808">
        <w:rPr>
          <w:noProof/>
        </w:rPr>
        <w:fldChar w:fldCharType="end"/>
      </w:r>
      <w:r w:rsidRPr="00972808">
        <w:t xml:space="preserve"> Výdaje státního rozpočtu </w:t>
      </w:r>
      <w:r w:rsidRPr="00972808">
        <w:rPr>
          <w:i/>
        </w:rPr>
        <w:t>(v mld. Kč)</w:t>
      </w:r>
      <w:bookmarkEnd w:id="97"/>
      <w:bookmarkEnd w:id="98"/>
    </w:p>
    <w:p w14:paraId="1A866848" w14:textId="270E40FA" w:rsidR="009E08ED" w:rsidRPr="00972808" w:rsidRDefault="0056250D" w:rsidP="001723D8">
      <w:pPr>
        <w:pStyle w:val="SRTextnomal"/>
      </w:pPr>
      <w:r w:rsidRPr="00972808">
        <w:rPr>
          <w:noProof/>
        </w:rPr>
        <w:drawing>
          <wp:inline distT="0" distB="0" distL="0" distR="0" wp14:anchorId="411F05A4" wp14:editId="20236D9F">
            <wp:extent cx="6120130" cy="164719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1647190"/>
                    </a:xfrm>
                    <a:prstGeom prst="rect">
                      <a:avLst/>
                    </a:prstGeom>
                    <a:noFill/>
                    <a:ln>
                      <a:noFill/>
                    </a:ln>
                  </pic:spPr>
                </pic:pic>
              </a:graphicData>
            </a:graphic>
          </wp:inline>
        </w:drawing>
      </w:r>
    </w:p>
    <w:p w14:paraId="02073E1E" w14:textId="52F12368" w:rsidR="00EC2EFD" w:rsidRPr="00972808" w:rsidRDefault="00EC2EFD" w:rsidP="000D440D">
      <w:pPr>
        <w:pStyle w:val="SRTitulek1"/>
        <w:rPr>
          <w:i/>
        </w:rPr>
      </w:pPr>
      <w:bookmarkStart w:id="99" w:name="_Toc239067915"/>
      <w:r w:rsidRPr="00972808">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6</w:t>
      </w:r>
      <w:r w:rsidR="00BF4932" w:rsidRPr="00972808">
        <w:fldChar w:fldCharType="end"/>
      </w:r>
      <w:r w:rsidRPr="00972808">
        <w:t xml:space="preserve"> Struktura celkových výdajů státního rozpočtu </w:t>
      </w:r>
      <w:r w:rsidR="00FF1BAA" w:rsidRPr="00972808">
        <w:t xml:space="preserve">bez EU/FM a úč. oper. PRV </w:t>
      </w:r>
      <w:r w:rsidRPr="00972808">
        <w:rPr>
          <w:i/>
        </w:rPr>
        <w:t>(v mld. Kč)</w:t>
      </w:r>
      <w:bookmarkEnd w:id="99"/>
    </w:p>
    <w:p w14:paraId="345012BA" w14:textId="4F2075F2" w:rsidR="00F12621" w:rsidRPr="00972808" w:rsidRDefault="00E34425" w:rsidP="00F12621">
      <w:pPr>
        <w:pStyle w:val="SRTextnomal"/>
      </w:pPr>
      <w:bookmarkStart w:id="100" w:name="_Toc178327588"/>
      <w:bookmarkStart w:id="101" w:name="_Toc52369865"/>
      <w:r w:rsidRPr="00972808">
        <w:rPr>
          <w:noProof/>
        </w:rPr>
        <w:drawing>
          <wp:inline distT="0" distB="0" distL="0" distR="0" wp14:anchorId="34252775" wp14:editId="7D186A76">
            <wp:extent cx="6120130" cy="2932901"/>
            <wp:effectExtent l="0" t="0" r="0" b="127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79444" cy="2961326"/>
                    </a:xfrm>
                    <a:prstGeom prst="rect">
                      <a:avLst/>
                    </a:prstGeom>
                    <a:noFill/>
                  </pic:spPr>
                </pic:pic>
              </a:graphicData>
            </a:graphic>
          </wp:inline>
        </w:drawing>
      </w:r>
    </w:p>
    <w:p w14:paraId="73EC27A7" w14:textId="34A4E0C7" w:rsidR="001B697D" w:rsidRPr="00972808" w:rsidRDefault="007F6D76" w:rsidP="001B697D">
      <w:pPr>
        <w:pStyle w:val="SRNadpis2"/>
      </w:pPr>
      <w:bookmarkStart w:id="102" w:name="_Hlk220397609"/>
      <w:bookmarkStart w:id="103" w:name="_Toc239067826"/>
      <w:r w:rsidRPr="00972808">
        <w:t>Výdaje státního rozpočtu podle odvětvového členění</w:t>
      </w:r>
      <w:bookmarkEnd w:id="100"/>
      <w:bookmarkEnd w:id="103"/>
    </w:p>
    <w:p w14:paraId="46A5CE1F" w14:textId="29F3062E" w:rsidR="008933BA" w:rsidRPr="00972808" w:rsidRDefault="008933BA" w:rsidP="008933BA">
      <w:pPr>
        <w:pStyle w:val="SRTextnomal"/>
      </w:pPr>
      <w:r w:rsidRPr="00972808">
        <w:t>Jedním z možných pohledů na výdaje státního rozpočtu je pohled odvětvový, tj. struktura výdajů podle druhu činnost</w:t>
      </w:r>
      <w:r w:rsidR="00687C52" w:rsidRPr="00972808">
        <w:t>í</w:t>
      </w:r>
      <w:r w:rsidRPr="00972808">
        <w:t xml:space="preserve">, na které se výdaje vynakládají nebo zaměření právního subjektu, jemuž jsou prostředky poskytovány za účelem jeho podpory. Základní tzv. skupiny odvětví, do nichž jsou členěny výdaje státního rozpočtu, zahrnují: zemědělství, lesní hospodářství a rybářství, průmyslová a ostatní odvětví hospodářství, služby pro fyzické osoby, sociální věci a politiku zaměstnanosti, bezpečnost státu a právní ochranu a všeobecnou veřejnou správu a služby. </w:t>
      </w:r>
    </w:p>
    <w:p w14:paraId="61E15194" w14:textId="77777777" w:rsidR="008933BA" w:rsidRPr="00972808" w:rsidRDefault="008933BA" w:rsidP="008933BA">
      <w:pPr>
        <w:pStyle w:val="SRTextnomal"/>
      </w:pPr>
      <w:r w:rsidRPr="00972808">
        <w:t>Státní rozpočet není v rámci soustavy veřejných rozpočtů jediným zdrojem podpory dále zkoumaných odvětví. Tato kapitola si neklade za cíl komentovat celou šíři podpory za stát. Jde především o komentář, jak se na podpoře jednotlivých odvětví podílí státní rozpočet.</w:t>
      </w:r>
    </w:p>
    <w:p w14:paraId="1C037E33" w14:textId="77777777" w:rsidR="008933BA" w:rsidRPr="00972808" w:rsidRDefault="008933BA" w:rsidP="008933BA">
      <w:pPr>
        <w:pStyle w:val="SRTextnomal"/>
      </w:pPr>
      <w:r w:rsidRPr="00972808">
        <w:t xml:space="preserve">Celkový objem výdajů státního rozpočtu lze rozdělit na jednotlivá odvětví podle následujícího grafu. Objemy prostředků komentované v této kapitole jsou včetně prostředků EU/FM. </w:t>
      </w:r>
    </w:p>
    <w:p w14:paraId="7F0A775B" w14:textId="5E16D482" w:rsidR="0003448F" w:rsidRPr="00972808" w:rsidRDefault="0003448F" w:rsidP="0003448F">
      <w:pPr>
        <w:pStyle w:val="SRTitulek1"/>
      </w:pPr>
      <w:bookmarkStart w:id="104" w:name="_Toc239067916"/>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7</w:t>
      </w:r>
      <w:r w:rsidR="00391DA8" w:rsidRPr="00972808">
        <w:rPr>
          <w:noProof/>
        </w:rPr>
        <w:fldChar w:fldCharType="end"/>
      </w:r>
      <w:r w:rsidRPr="00972808">
        <w:t xml:space="preserve"> Státní rozpočet dle odvětvového členění v letech 202</w:t>
      </w:r>
      <w:r w:rsidR="008933BA" w:rsidRPr="00972808">
        <w:t>1</w:t>
      </w:r>
      <w:r w:rsidRPr="00972808">
        <w:t xml:space="preserve"> až 202</w:t>
      </w:r>
      <w:r w:rsidR="008933BA" w:rsidRPr="00972808">
        <w:t>7</w:t>
      </w:r>
      <w:r w:rsidRPr="00972808">
        <w:t xml:space="preserve"> </w:t>
      </w:r>
      <w:r w:rsidRPr="00972808">
        <w:rPr>
          <w:i/>
        </w:rPr>
        <w:t>(v % z celkových výdajů státního rozpočtu)</w:t>
      </w:r>
      <w:bookmarkEnd w:id="104"/>
    </w:p>
    <w:p w14:paraId="29A627E4" w14:textId="76B45EA3" w:rsidR="007F6D76" w:rsidRPr="00972808" w:rsidRDefault="003968E2" w:rsidP="007F6D76">
      <w:pPr>
        <w:pStyle w:val="SRTextnomal"/>
      </w:pPr>
      <w:r w:rsidRPr="00972808">
        <w:rPr>
          <w:noProof/>
        </w:rPr>
        <w:drawing>
          <wp:inline distT="0" distB="0" distL="0" distR="0" wp14:anchorId="044FDB94" wp14:editId="4EA68676">
            <wp:extent cx="6049459" cy="3514462"/>
            <wp:effectExtent l="0" t="0" r="889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69084" cy="3525863"/>
                    </a:xfrm>
                    <a:prstGeom prst="rect">
                      <a:avLst/>
                    </a:prstGeom>
                    <a:noFill/>
                  </pic:spPr>
                </pic:pic>
              </a:graphicData>
            </a:graphic>
          </wp:inline>
        </w:drawing>
      </w:r>
    </w:p>
    <w:p w14:paraId="19BBE367" w14:textId="77777777" w:rsidR="00C76E1E" w:rsidRPr="00972808" w:rsidRDefault="00C76E1E" w:rsidP="007F6D76">
      <w:pPr>
        <w:pStyle w:val="SRTextnomal"/>
      </w:pPr>
    </w:p>
    <w:p w14:paraId="764D5AEA" w14:textId="72F5C0A7" w:rsidR="00AD09BA" w:rsidRPr="00972808" w:rsidRDefault="00861789" w:rsidP="00AD09BA">
      <w:pPr>
        <w:pStyle w:val="SRTextnomal"/>
      </w:pPr>
      <w:r w:rsidRPr="00972808">
        <w:t>Graf zobrazuje vývoj struktury celkových výdajů státního rozpočtu v letech 202</w:t>
      </w:r>
      <w:r w:rsidR="008933BA" w:rsidRPr="00972808">
        <w:t>1</w:t>
      </w:r>
      <w:r w:rsidRPr="00972808">
        <w:t xml:space="preserve"> až 202</w:t>
      </w:r>
      <w:r w:rsidR="008933BA" w:rsidRPr="00972808">
        <w:t>7</w:t>
      </w:r>
      <w:r w:rsidRPr="00972808">
        <w:t xml:space="preserve"> podle skupin odvětví. Podrobnější číselné údaje podle oddílů odvětví viz</w:t>
      </w:r>
      <w:r w:rsidR="00AD09BA" w:rsidRPr="00972808">
        <w:t xml:space="preserve"> </w:t>
      </w:r>
      <w:r w:rsidR="00AD09BA" w:rsidRPr="00972808">
        <w:fldChar w:fldCharType="begin"/>
      </w:r>
      <w:r w:rsidR="00AD09BA" w:rsidRPr="00972808">
        <w:instrText xml:space="preserve"> REF _Ref81296728 \h  \* MERGEFORMAT </w:instrText>
      </w:r>
      <w:r w:rsidR="00AD09BA" w:rsidRPr="00972808">
        <w:fldChar w:fldCharType="separate"/>
      </w:r>
      <w:r w:rsidR="00344480" w:rsidRPr="00972808">
        <w:t xml:space="preserve">Tabulka </w:t>
      </w:r>
      <w:r w:rsidR="00344480">
        <w:rPr>
          <w:noProof/>
        </w:rPr>
        <w:t>4</w:t>
      </w:r>
      <w:r w:rsidR="00AD09BA" w:rsidRPr="00972808">
        <w:fldChar w:fldCharType="end"/>
      </w:r>
      <w:r w:rsidR="00AD09BA" w:rsidRPr="00972808">
        <w:t xml:space="preserve">. </w:t>
      </w:r>
    </w:p>
    <w:p w14:paraId="25DDF4D5" w14:textId="66ED568C" w:rsidR="008933BA" w:rsidRPr="00972808" w:rsidRDefault="008933BA" w:rsidP="008933BA">
      <w:pPr>
        <w:pStyle w:val="SRTextnomal"/>
      </w:pPr>
      <w:r w:rsidRPr="00972808">
        <w:t>Z grafu je zřejmé, že odvětvová struktura státního rozpočtu zůstává v čase víceméně stabilní. K určitým změnám proporcí dochází v posledních letech zejména díky snižování výdajů do odvětví zemědělství, lesního hospodářství a rybářství, jehož podíl v uvedených letech klesá. Podobný trend je patrný též ve skupině služby pro fyzické osoby. Na druhé straně je zřejm</w:t>
      </w:r>
      <w:r w:rsidR="003258A2" w:rsidRPr="00972808">
        <w:t xml:space="preserve">á stabilizace podílu </w:t>
      </w:r>
      <w:r w:rsidRPr="00972808">
        <w:t>výdajů na bezpečnost státu a právní ochranu</w:t>
      </w:r>
      <w:r w:rsidR="003258A2" w:rsidRPr="00972808">
        <w:t xml:space="preserve">. Podíl výdajů </w:t>
      </w:r>
      <w:r w:rsidRPr="00972808">
        <w:t>na všeobecnou veřejnou správu a služby</w:t>
      </w:r>
      <w:r w:rsidR="003258A2" w:rsidRPr="00972808">
        <w:t xml:space="preserve"> a průmyslová a ostatní odvětví hospodářství vzrostl</w:t>
      </w:r>
      <w:r w:rsidRPr="00972808">
        <w:t xml:space="preserve"> oproti roku 202</w:t>
      </w:r>
      <w:r w:rsidR="003258A2" w:rsidRPr="00972808">
        <w:t>6</w:t>
      </w:r>
      <w:r w:rsidRPr="00972808">
        <w:t xml:space="preserve"> v součtu o </w:t>
      </w:r>
      <w:r w:rsidR="003258A2" w:rsidRPr="00972808">
        <w:t>2,8</w:t>
      </w:r>
      <w:r w:rsidRPr="00972808">
        <w:t xml:space="preserve"> p. b. Nárůst v oblasti všeobecné veřejné správy a služeb je dán zejména zvyšujícími se náklady v souvislosti s dluhovou službou.</w:t>
      </w:r>
    </w:p>
    <w:p w14:paraId="0FA423B7" w14:textId="77777777" w:rsidR="007F6D76" w:rsidRPr="00972808" w:rsidRDefault="007F6D76" w:rsidP="007F6D76">
      <w:pPr>
        <w:pStyle w:val="SRNadpis3"/>
      </w:pPr>
      <w:bookmarkStart w:id="105" w:name="_Toc239067827"/>
      <w:r w:rsidRPr="00972808">
        <w:t>Sociální věci a politika zaměstnanosti</w:t>
      </w:r>
      <w:bookmarkEnd w:id="105"/>
    </w:p>
    <w:p w14:paraId="462589FC" w14:textId="0C2946B2" w:rsidR="00AD09BA" w:rsidRPr="00972808" w:rsidRDefault="008933BA" w:rsidP="00AD09BA">
      <w:pPr>
        <w:pStyle w:val="SRTextnomal"/>
      </w:pPr>
      <w:bookmarkStart w:id="106" w:name="_Hlk209708741"/>
      <w:r w:rsidRPr="00972808">
        <w:t xml:space="preserve">Odvětví </w:t>
      </w:r>
      <w:r w:rsidRPr="00972808">
        <w:rPr>
          <w:b/>
        </w:rPr>
        <w:t xml:space="preserve">sociální věci a politika zaměstnanosti </w:t>
      </w:r>
      <w:r w:rsidRPr="00972808">
        <w:t xml:space="preserve">svým objemem výdajů v rozpočtu 2027 ve výši 1 065,4 mld. Kč dosahuje 41,3 % podílu na celkových výdajích státního rozpočtu. Tyto výdaje jsou z necelých 96 % realizovány prostřednictvím kapitoly Ministerstvo práce a sociálních věcí a takřka všechny jsou mandatorního charakteru. Detailněji k této oblasti viz </w:t>
      </w:r>
      <w:r w:rsidR="00861789" w:rsidRPr="00972808">
        <w:t>kapitola </w:t>
      </w:r>
      <w:r w:rsidR="00AD09BA" w:rsidRPr="00972808">
        <w:fldChar w:fldCharType="begin"/>
      </w:r>
      <w:r w:rsidR="00AD09BA" w:rsidRPr="00972808">
        <w:instrText xml:space="preserve"> REF _Ref207187100 \r \h  \* MERGEFORMAT </w:instrText>
      </w:r>
      <w:r w:rsidR="00AD09BA" w:rsidRPr="00972808">
        <w:fldChar w:fldCharType="separate"/>
      </w:r>
      <w:r w:rsidR="00344480">
        <w:t>4.4</w:t>
      </w:r>
      <w:r w:rsidR="00AD09BA" w:rsidRPr="00972808">
        <w:fldChar w:fldCharType="end"/>
      </w:r>
      <w:r w:rsidR="00AD09BA" w:rsidRPr="00972808">
        <w:t>.</w:t>
      </w:r>
    </w:p>
    <w:p w14:paraId="55452159" w14:textId="77777777" w:rsidR="008933BA" w:rsidRPr="00972808" w:rsidRDefault="008933BA" w:rsidP="008933BA">
      <w:pPr>
        <w:pStyle w:val="SRTextnomal"/>
      </w:pPr>
      <w:r w:rsidRPr="00972808">
        <w:t xml:space="preserve">Podrobněji se tato skupina odvětví člení dále na </w:t>
      </w:r>
      <w:r w:rsidRPr="00972808">
        <w:rPr>
          <w:b/>
        </w:rPr>
        <w:t xml:space="preserve">dávky a podpory v sociálním zabezpečení </w:t>
      </w:r>
      <w:r w:rsidRPr="00972808">
        <w:t xml:space="preserve">(v roce 2027 ve výši 965,5 mld. Kč a s podílem 90,6 %) hrazené převážně z rozpočtu ministerstev práce a sociálních věcí, vnitra a obrany. Jde zejména o starobní a další důchody, výsluhové příspěvky, nemocenské, peněžité pomoci v mateřství, rodičovské příspěvky, dávky pěstounské péče, přídavky na dítě, příspěvek na živobytí, na mobilitu, příspěvek na péči a další sociální příspěvky a podpory fyzickým osobám. Výdaje na </w:t>
      </w:r>
      <w:r w:rsidRPr="00972808">
        <w:rPr>
          <w:b/>
        </w:rPr>
        <w:t>politiku zaměstnanosti</w:t>
      </w:r>
      <w:r w:rsidRPr="00972808">
        <w:t xml:space="preserve"> (v roce 2027 ve výši 35,6 mld. Kč) jsou využívány jak na dávky nezaměstnaným, tak na rekvalifikace, vytváření nových pracovních míst a na podporu zaměstnávání znevýhodněných osob. Výdaje na </w:t>
      </w:r>
      <w:r w:rsidRPr="00972808">
        <w:rPr>
          <w:b/>
        </w:rPr>
        <w:t>sociální služby</w:t>
      </w:r>
      <w:r w:rsidRPr="00972808">
        <w:t xml:space="preserve"> a společné činnosti v sociálním zabezpečení a politice zaměstnanosti v roce 2027 ve výši 64,3 mld. Kč jsou až na výjimky obsaženy v rozpočtu Ministerstva práce a sociálních věcí.</w:t>
      </w:r>
    </w:p>
    <w:p w14:paraId="29147D48" w14:textId="77777777" w:rsidR="007F6D76" w:rsidRPr="00972808" w:rsidRDefault="007F6D76" w:rsidP="007F6D76">
      <w:pPr>
        <w:pStyle w:val="SRNadpis3"/>
      </w:pPr>
      <w:bookmarkStart w:id="107" w:name="_Toc239067828"/>
      <w:r w:rsidRPr="00972808">
        <w:t>Služby pro fyzické osoby</w:t>
      </w:r>
      <w:bookmarkEnd w:id="107"/>
    </w:p>
    <w:p w14:paraId="5B1CAF9E" w14:textId="77777777" w:rsidR="008933BA" w:rsidRPr="00972808" w:rsidRDefault="008933BA" w:rsidP="008933BA">
      <w:pPr>
        <w:pStyle w:val="SRTextnomal"/>
      </w:pPr>
      <w:r w:rsidRPr="00972808">
        <w:t xml:space="preserve">Výdaje na </w:t>
      </w:r>
      <w:r w:rsidRPr="00972808">
        <w:rPr>
          <w:b/>
        </w:rPr>
        <w:t>služby pro fyzické osoby</w:t>
      </w:r>
      <w:r w:rsidRPr="00972808">
        <w:t xml:space="preserve"> v návrhu státního rozpočtu na rok 2027 ve výši 578 mld. Kč představují 22,4 % celkových výdajů. V této skupině slouží většina výdajů (82,1 %) k financování veřejných služeb ve formě vzdělávání a zdravotnictví.</w:t>
      </w:r>
    </w:p>
    <w:p w14:paraId="468F2E3C" w14:textId="648E0860" w:rsidR="000B3100" w:rsidRPr="00972808" w:rsidRDefault="000B3100" w:rsidP="000B3100">
      <w:pPr>
        <w:pStyle w:val="SRTextnomal"/>
      </w:pPr>
    </w:p>
    <w:p w14:paraId="7B46EAE2" w14:textId="4D863908" w:rsidR="00C76E1E" w:rsidRPr="00972808" w:rsidRDefault="00C76E1E" w:rsidP="00C76E1E">
      <w:pPr>
        <w:pStyle w:val="SRTitulek1"/>
      </w:pPr>
      <w:bookmarkStart w:id="108" w:name="_Toc239067917"/>
      <w:r w:rsidRPr="00972808">
        <w:lastRenderedPageBreak/>
        <w:t xml:space="preserve">Graf </w:t>
      </w:r>
      <w:r w:rsidRPr="00972808">
        <w:fldChar w:fldCharType="begin"/>
      </w:r>
      <w:r w:rsidRPr="00972808">
        <w:instrText xml:space="preserve"> SEQ Graf \* ARABIC </w:instrText>
      </w:r>
      <w:r w:rsidRPr="00972808">
        <w:fldChar w:fldCharType="separate"/>
      </w:r>
      <w:r w:rsidR="00344480">
        <w:rPr>
          <w:noProof/>
        </w:rPr>
        <w:t>8</w:t>
      </w:r>
      <w:r w:rsidRPr="00972808">
        <w:rPr>
          <w:noProof/>
        </w:rPr>
        <w:fldChar w:fldCharType="end"/>
      </w:r>
      <w:r w:rsidRPr="00972808">
        <w:t xml:space="preserve"> Struktura výdajů na služby pro fyzické osoby dle odvětvového členění v letech 202</w:t>
      </w:r>
      <w:r w:rsidR="008933BA" w:rsidRPr="00972808">
        <w:t>1</w:t>
      </w:r>
      <w:r w:rsidRPr="00972808">
        <w:t xml:space="preserve"> až 202</w:t>
      </w:r>
      <w:r w:rsidR="008933BA" w:rsidRPr="00972808">
        <w:t>7</w:t>
      </w:r>
      <w:r w:rsidRPr="00972808">
        <w:t xml:space="preserve"> </w:t>
      </w:r>
      <w:r w:rsidRPr="00972808">
        <w:rPr>
          <w:i/>
        </w:rPr>
        <w:t>(v % z celkových výdajů státního rozpočtu na služby pro fyzické osoby)</w:t>
      </w:r>
      <w:bookmarkEnd w:id="108"/>
    </w:p>
    <w:p w14:paraId="6AADC793" w14:textId="6436FA6C" w:rsidR="00C76E1E" w:rsidRPr="00972808" w:rsidRDefault="003968E2" w:rsidP="00C76E1E">
      <w:pPr>
        <w:pStyle w:val="SRTextnomal"/>
      </w:pPr>
      <w:r w:rsidRPr="00972808">
        <w:rPr>
          <w:noProof/>
        </w:rPr>
        <w:drawing>
          <wp:inline distT="0" distB="0" distL="0" distR="0" wp14:anchorId="3BEAF29E" wp14:editId="14C652A1">
            <wp:extent cx="6060281" cy="4134401"/>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83186" cy="4150027"/>
                    </a:xfrm>
                    <a:prstGeom prst="rect">
                      <a:avLst/>
                    </a:prstGeom>
                    <a:noFill/>
                  </pic:spPr>
                </pic:pic>
              </a:graphicData>
            </a:graphic>
          </wp:inline>
        </w:drawing>
      </w:r>
    </w:p>
    <w:bookmarkEnd w:id="106"/>
    <w:p w14:paraId="05673E78" w14:textId="5C413CB7" w:rsidR="008933BA" w:rsidRPr="00972808" w:rsidRDefault="008933BA" w:rsidP="008933BA">
      <w:pPr>
        <w:pStyle w:val="SRTextnomal"/>
      </w:pPr>
      <w:r w:rsidRPr="00972808">
        <w:t xml:space="preserve">Největšího objemu v rámci této skupiny dosahují výdaje na </w:t>
      </w:r>
      <w:r w:rsidRPr="00972808">
        <w:rPr>
          <w:b/>
        </w:rPr>
        <w:t>vzdělávání a školské služby</w:t>
      </w:r>
      <w:r w:rsidRPr="00972808">
        <w:rPr>
          <w:bCs/>
        </w:rPr>
        <w:t>, které jsou v roce 2027 rozpočtovány ve výši 281,9 mld. Kč, a to</w:t>
      </w:r>
      <w:r w:rsidRPr="00972808">
        <w:rPr>
          <w:b/>
        </w:rPr>
        <w:t xml:space="preserve"> </w:t>
      </w:r>
      <w:r w:rsidRPr="00972808">
        <w:t>především v kapitolách Ministerstvo školství, mládeže a tělovýchovy, Ministerstvo obrany a Ministerstvo vnitra. Financování vzdělávání a školských služeb zahrnuje všechny druhy škol a školských zařízení, jako jsou např. školská poradenská zařízení či diagnostické ústavy, školní družiny a rovněž vysokoškolské koleje a menzy. Školy (mateřské, základní, střední, vyšší odborné a základní umělecké) a školská zařízení zřizují především obce a kraje a dále soukromí zřizovatelé a církev a náboženské společnosti. Ze státního rozpočtu se od 1. 1. 2026 hradí zejména platy všech pedagogických pracovníků a výdaje související se zajištěním odborné přípravy k získání řidičského nebo svářečského oprávnění realizované dle rámcových vzdělávacích programů. Ostatní výdaje zajišťuje ze svého rozpočtu zřizovatel školy nebo školského zařízení, tj. provozní a investiční výdaje, od 1. 1. 2026 i</w:t>
      </w:r>
      <w:r w:rsidR="00177E3B" w:rsidRPr="00972808">
        <w:t> </w:t>
      </w:r>
      <w:r w:rsidRPr="00972808">
        <w:t>platové prostředky pro nepedagogické pracovníky, učební pomůcky apod. Veřejné vysoké školy jsou zřízeny zákonem o vysokých školách a ze státního rozpočtu mají dle tohoto zákona nárok na příspěvek na vzdělávací a tvůrčí činnost, na dotaci na rozvoj vysoké školy a na investiční výdaje. Rovněž lze veřejným vysokým školám ze státního rozpočtu poskytnout dotaci na ubytování a stravování studentů nebo jakoukoliv další podporu, pokud uspějí v dotačních výzvách. Soukromé vysoké školy mohou ze státního rozpočtu obdržet dotaci na sociální a ubytovací stipendia nebo vyrovnávací platbu za závazek veřejné služby na uskutečňování vybraných akreditovaných studijních programů, např. zdravotnických profesí. Školy a školská zařízení mohou zřizovat i zákonem určená ministerstva, jejich výdaje jsou pak hrazeny ze státního rozpočtu. Financování oblasti vzdělávání ze státního rozpočtu zahrnuje i výdaje na výzkum, vývoj a inovace realizovaný na vysokých školách.</w:t>
      </w:r>
    </w:p>
    <w:p w14:paraId="64D43FB5" w14:textId="77777777" w:rsidR="008933BA" w:rsidRPr="00972808" w:rsidRDefault="008933BA" w:rsidP="008933BA">
      <w:pPr>
        <w:pStyle w:val="SRTextnomal"/>
      </w:pPr>
      <w:r w:rsidRPr="00972808">
        <w:t xml:space="preserve">Výdaje na </w:t>
      </w:r>
      <w:r w:rsidRPr="00972808">
        <w:rPr>
          <w:b/>
        </w:rPr>
        <w:t xml:space="preserve">zdravotnictví </w:t>
      </w:r>
      <w:r w:rsidRPr="00972808">
        <w:rPr>
          <w:bCs/>
        </w:rPr>
        <w:t xml:space="preserve">(v objemu 192,4 mld. Kč pro rok 2027) </w:t>
      </w:r>
      <w:r w:rsidRPr="00972808">
        <w:t xml:space="preserve">jsou v rozpočtu obsaženy především v kapitole Všeobecná pokladní správa, odkud jsou prováděny úhrady státu zdravotním pojišťovnám za tzv. státní pojištěnce (v roce 2027 ve výši 175,7 mld. Kč). V kapitole Ministerstvo zdravotnictví se v roce 2027 rozpočtují výdaje na zdravotnictví ve výši 12,7 mld. Kč. Svým objemem je třetí nejvyšší částka v tomto segmentu rozpočtována v roce 2027 v kapitole Ministerstvo obrany (3,5 mld. Kč). Výdaje na zdravotnictví přesahují svou šíří hranice státního rozpočtu a výše uvedené výdaje lze zjednodušeně chápat jako jeden ze zdrojů systému zdravotnictví. </w:t>
      </w:r>
    </w:p>
    <w:p w14:paraId="5E78CCE1" w14:textId="03162778" w:rsidR="008933BA" w:rsidRPr="00972808" w:rsidRDefault="008933BA" w:rsidP="008933BA">
      <w:pPr>
        <w:pStyle w:val="SRTextnomal"/>
      </w:pPr>
      <w:r w:rsidRPr="00972808">
        <w:t>Výdaje na výzkum, vývoj, inovace a transfer znalostí jsou rozpočtovány v rámci státního rozpočtu v roce 2027 v celkové výši 51,2 mld. Kč (podrobně viz</w:t>
      </w:r>
      <w:r w:rsidR="00861789" w:rsidRPr="00972808">
        <w:t xml:space="preserve"> kapitola</w:t>
      </w:r>
      <w:r w:rsidR="00D20200" w:rsidRPr="00972808">
        <w:t xml:space="preserve"> </w:t>
      </w:r>
      <w:r w:rsidR="00D20200" w:rsidRPr="00972808">
        <w:fldChar w:fldCharType="begin"/>
      </w:r>
      <w:r w:rsidR="00D20200" w:rsidRPr="00972808">
        <w:instrText xml:space="preserve"> REF _Ref238985884 \r \h </w:instrText>
      </w:r>
      <w:r w:rsidR="001116E5" w:rsidRPr="00972808">
        <w:instrText xml:space="preserve"> \* MERGEFORMAT </w:instrText>
      </w:r>
      <w:r w:rsidR="00D20200" w:rsidRPr="00972808">
        <w:fldChar w:fldCharType="separate"/>
      </w:r>
      <w:r w:rsidR="00344480">
        <w:t>4.11</w:t>
      </w:r>
      <w:r w:rsidR="00D20200" w:rsidRPr="00972808">
        <w:fldChar w:fldCharType="end"/>
      </w:r>
      <w:r w:rsidR="00AD09BA" w:rsidRPr="00972808">
        <w:t xml:space="preserve">). </w:t>
      </w:r>
      <w:r w:rsidRPr="00972808">
        <w:t xml:space="preserve">Část těchto výdajů je rozpočtována přímo v kapitolách, které podporují tuto oblast v rámci jim příslušného odvětví. V oddílu </w:t>
      </w:r>
      <w:r w:rsidRPr="00972808">
        <w:rPr>
          <w:b/>
        </w:rPr>
        <w:t>ostatní výzkum a vývoj</w:t>
      </w:r>
      <w:r w:rsidRPr="00972808">
        <w:t xml:space="preserve"> představuje částka 27,8 mld. Kč výdaje, které jdou na podporu výzkumu, vývoje a inovací napříč odvětvími. Jedná se o tři výzkumné kapitoly Akademie věd ČR, </w:t>
      </w:r>
      <w:r w:rsidRPr="00972808">
        <w:lastRenderedPageBreak/>
        <w:t xml:space="preserve">Grantová agentura ČR a Technologická agentura ČR a dále Ministerstvo školství, mládeže a tělovýchovy, které je ústředním orgánem výzkumu a vývoje pro mezinárodní podporu této oblasti. </w:t>
      </w:r>
    </w:p>
    <w:p w14:paraId="5B58AE66" w14:textId="77777777" w:rsidR="008933BA" w:rsidRPr="00972808" w:rsidRDefault="008933BA" w:rsidP="008933BA">
      <w:pPr>
        <w:pStyle w:val="SRTextnomal"/>
      </w:pPr>
      <w:r w:rsidRPr="00972808">
        <w:t xml:space="preserve">Výdaje na </w:t>
      </w:r>
      <w:r w:rsidRPr="00972808">
        <w:rPr>
          <w:b/>
        </w:rPr>
        <w:t xml:space="preserve">kulturu, církve a sdělovací prostředky </w:t>
      </w:r>
      <w:r w:rsidRPr="00972808">
        <w:rPr>
          <w:bCs/>
        </w:rPr>
        <w:t>jsou pro rok 2027 rozpočtovány ve výši 19,2 mld. Kč. Tyto výdaje jsou z 96,6 % hrazené z kapitoly Ministerstvo kultury a</w:t>
      </w:r>
      <w:r w:rsidRPr="00972808">
        <w:t xml:space="preserve"> jsou určené na činnost muzeí a galerií, na činnost památkových ústavů, péči o hrady, zámky a další památky, na divadelní, výtvarné a hudební činnosti a na oblast audiovize (filmové pobídky, podpora audiovize). Dále je z rozpočtu Ministerstva kultury na základě zákona č. 428/2012 Sb., o majetkovém vyrovnání s církvemi a náboženskými společnostmi, poskytována finanční náhrada z titulu vypořádání majetkových vztahů mezi státem a registrovanými církvemi a náboženskými společnostmi a příspěvek na činnost dotčených registrovaných církví a náboženských společností. Nad rámec prostředků státního rozpočtu je oblast kultury rovněž podporována z rozpočtů krajů a obcí a z rozpočtů státních fondů, Státního fondu audiovize a Státního fondu kultury ČR. </w:t>
      </w:r>
    </w:p>
    <w:p w14:paraId="74277703" w14:textId="4F85E6C1" w:rsidR="008933BA" w:rsidRPr="00972808" w:rsidRDefault="008933BA" w:rsidP="008933BA">
      <w:pPr>
        <w:pStyle w:val="SRTextnomal"/>
      </w:pPr>
      <w:r w:rsidRPr="00972808">
        <w:t xml:space="preserve">Výdaje na </w:t>
      </w:r>
      <w:r w:rsidRPr="00972808">
        <w:rPr>
          <w:b/>
        </w:rPr>
        <w:t>sport a zájmovou</w:t>
      </w:r>
      <w:r w:rsidRPr="00972808">
        <w:t xml:space="preserve"> </w:t>
      </w:r>
      <w:r w:rsidRPr="00972808">
        <w:rPr>
          <w:b/>
        </w:rPr>
        <w:t xml:space="preserve">činnost </w:t>
      </w:r>
      <w:r w:rsidRPr="00972808">
        <w:t>v celkovém navrženém objemu pro rok 2027 ve výši 10,5 mld. Kč jsou z 80,4 % zahrnuty v rozpočtu Národní sportovní agentury. Tyto činnosti podporují v rámci svých kompetencí také ministerstva obrany, vnitra a školství, mládeže a tělovýchovy a od roku 2025 také Ministerstvo práce a sociálních věcí. Z rozpočtu Národní sportovní agentury jsou poskytovány prostředky na rozvoj a podporu sportu, zejména dětí a</w:t>
      </w:r>
      <w:r w:rsidR="00177E3B" w:rsidRPr="00972808">
        <w:t> </w:t>
      </w:r>
      <w:r w:rsidRPr="00972808">
        <w:t xml:space="preserve">mládeže, na zajištění činnosti sportovních organizací, na zajištění přípravy sportovní reprezentace ČR a na pořádání významných sportovních akcí. </w:t>
      </w:r>
    </w:p>
    <w:p w14:paraId="290DA6E0" w14:textId="77777777" w:rsidR="008933BA" w:rsidRPr="00972808" w:rsidRDefault="008933BA" w:rsidP="008933BA">
      <w:pPr>
        <w:pStyle w:val="SRTextnomal"/>
        <w:rPr>
          <w:b/>
        </w:rPr>
      </w:pPr>
      <w:r w:rsidRPr="00972808">
        <w:t xml:space="preserve">Mezi služby pro fyzické osoby patří také výdaje na </w:t>
      </w:r>
      <w:r w:rsidRPr="00972808">
        <w:rPr>
          <w:b/>
        </w:rPr>
        <w:t xml:space="preserve">podporu bydlení, komunálních služeb a na územní rozvoj, </w:t>
      </w:r>
      <w:r w:rsidRPr="00972808">
        <w:t>které se rozpočtují v roce 2027 v celkové výši 23,9 mld. Kč v kapitolách Ministerstvo pro místní rozvoj (86 %) a dále v kapitolách Ministerstvo práce a sociálních věcí, Úřad rozvoje území ČR a Všeobecná pokladní správa.</w:t>
      </w:r>
    </w:p>
    <w:p w14:paraId="0BC7B1BA" w14:textId="77777777" w:rsidR="008933BA" w:rsidRPr="00972808" w:rsidRDefault="008933BA" w:rsidP="008933BA">
      <w:pPr>
        <w:pStyle w:val="SRTextnomal"/>
        <w:rPr>
          <w:b/>
        </w:rPr>
      </w:pPr>
      <w:r w:rsidRPr="00972808">
        <w:t xml:space="preserve">Do oblasti </w:t>
      </w:r>
      <w:r w:rsidRPr="00972808">
        <w:rPr>
          <w:b/>
        </w:rPr>
        <w:t xml:space="preserve">ochrany životního prostředí </w:t>
      </w:r>
      <w:r w:rsidRPr="00972808">
        <w:t>je počítáno v roce 2027 s částkou 22,2 mld. Kč.</w:t>
      </w:r>
      <w:r w:rsidRPr="00972808">
        <w:rPr>
          <w:b/>
        </w:rPr>
        <w:t xml:space="preserve"> </w:t>
      </w:r>
    </w:p>
    <w:p w14:paraId="13061CA9" w14:textId="06F9D197" w:rsidR="007F6D76" w:rsidRPr="00972808" w:rsidRDefault="007F6D76" w:rsidP="008933BA">
      <w:pPr>
        <w:pStyle w:val="SRNadpis3"/>
      </w:pPr>
      <w:bookmarkStart w:id="109" w:name="_Toc239067829"/>
      <w:r w:rsidRPr="00972808">
        <w:t>Bezpečnost státu a právní ochrana</w:t>
      </w:r>
      <w:bookmarkEnd w:id="109"/>
    </w:p>
    <w:p w14:paraId="6E32B3BA" w14:textId="77777777" w:rsidR="008933BA" w:rsidRPr="00972808" w:rsidRDefault="008933BA" w:rsidP="008933BA">
      <w:pPr>
        <w:pStyle w:val="SRTextnomal"/>
      </w:pPr>
      <w:bookmarkStart w:id="110" w:name="_Hlk220672542"/>
      <w:r w:rsidRPr="00972808">
        <w:t xml:space="preserve">Další skupinou s podílem 12,5 % na celkových výdajích státního rozpočtu je odvětvová skupina </w:t>
      </w:r>
      <w:r w:rsidRPr="00972808">
        <w:rPr>
          <w:b/>
        </w:rPr>
        <w:t>bezpečnost státu a právní ochrana</w:t>
      </w:r>
      <w:r w:rsidRPr="00972808">
        <w:rPr>
          <w:bCs/>
        </w:rPr>
        <w:t>, která</w:t>
      </w:r>
      <w:r w:rsidRPr="00972808">
        <w:t xml:space="preserve"> dosahuje v rozpočtu na rok 2027 celkové výše 322,1 mld. Kč. To znamená meziroční nárůst o 17,8 mld. Kč. Vedle výdajů na obranu, které vykazují nejvyšší dynamiku a jsou zahrnuty kromě Ministerstva obrany v rozpočtu dalších kapitol, jsou prostředky na poskytování veřejných služeb v tomto odvětví rozpočtovány především v kapitolách Ministerstvo vnitra, Ministerstvo spravedlnosti a Správa státních hmotných rezerv.</w:t>
      </w:r>
    </w:p>
    <w:p w14:paraId="621BBF49" w14:textId="608D36AC" w:rsidR="008933BA" w:rsidRPr="00972808" w:rsidRDefault="008933BA" w:rsidP="008933BA">
      <w:pPr>
        <w:pStyle w:val="SRTextnomal"/>
      </w:pPr>
      <w:r w:rsidRPr="00972808">
        <w:t xml:space="preserve">Podrobněji se výdaje v rámci této odvětvové skupiny člení na služby státu v oblasti </w:t>
      </w:r>
      <w:r w:rsidRPr="00972808">
        <w:rPr>
          <w:b/>
        </w:rPr>
        <w:t xml:space="preserve">obrany, </w:t>
      </w:r>
      <w:r w:rsidRPr="00972808">
        <w:t xml:space="preserve">které jsou zde zároveň objemově nejvýznamnější (v roce 2027 ve výši 176,6 mld. Kč, detailně se této oblasti věnuje </w:t>
      </w:r>
      <w:r w:rsidR="00861789" w:rsidRPr="00972808">
        <w:t xml:space="preserve">kapitola </w:t>
      </w:r>
      <w:r w:rsidR="00831B21" w:rsidRPr="00972808">
        <w:fldChar w:fldCharType="begin"/>
      </w:r>
      <w:r w:rsidR="00831B21" w:rsidRPr="00972808">
        <w:instrText xml:space="preserve"> REF _Ref207116811 \r \h </w:instrText>
      </w:r>
      <w:r w:rsidR="00F766AD" w:rsidRPr="00972808">
        <w:instrText xml:space="preserve"> \* MERGEFORMAT </w:instrText>
      </w:r>
      <w:r w:rsidR="00831B21" w:rsidRPr="00972808">
        <w:fldChar w:fldCharType="separate"/>
      </w:r>
      <w:r w:rsidR="00344480">
        <w:t>4.12</w:t>
      </w:r>
      <w:r w:rsidR="00831B21" w:rsidRPr="00972808">
        <w:fldChar w:fldCharType="end"/>
      </w:r>
      <w:r w:rsidR="00861789" w:rsidRPr="00972808">
        <w:t xml:space="preserve">), </w:t>
      </w:r>
      <w:r w:rsidRPr="00972808">
        <w:t xml:space="preserve">dále </w:t>
      </w:r>
      <w:r w:rsidRPr="00972808">
        <w:rPr>
          <w:b/>
        </w:rPr>
        <w:t xml:space="preserve">bezpečnost a veřejný pořádek </w:t>
      </w:r>
      <w:r w:rsidRPr="00972808">
        <w:t xml:space="preserve">(v rozpočtu na rok 2027 zahrnuta částkou 80,1 mld. Kč), které dominantně (z 93,3 %) přísluší do gesce Ministerstva vnitra. Patří sem také </w:t>
      </w:r>
      <w:r w:rsidRPr="00972808">
        <w:rPr>
          <w:b/>
          <w:bCs/>
        </w:rPr>
        <w:t>p</w:t>
      </w:r>
      <w:r w:rsidRPr="00972808">
        <w:rPr>
          <w:b/>
        </w:rPr>
        <w:t xml:space="preserve">rávní ochrana </w:t>
      </w:r>
      <w:r w:rsidRPr="00972808">
        <w:t>s celkovým rozpočtem ve výši 42,3 mld. Kč, jejíž součástí je zejména soudnictví, vězeňství, státní zastupitelství, probační a mediační služba a téměř výhradně je zajištěna v působnosti Ministerstva spravedlnosti.</w:t>
      </w:r>
      <w:r w:rsidRPr="00972808">
        <w:rPr>
          <w:b/>
        </w:rPr>
        <w:t xml:space="preserve"> </w:t>
      </w:r>
      <w:r w:rsidRPr="00972808">
        <w:t>Do oblasti</w:t>
      </w:r>
      <w:r w:rsidRPr="00972808">
        <w:rPr>
          <w:b/>
        </w:rPr>
        <w:t xml:space="preserve"> požární ochrany a integrovaného záchranného systému</w:t>
      </w:r>
      <w:r w:rsidRPr="00972808">
        <w:t xml:space="preserve"> je určena pro rok 2027 částka 17,9 mld. Kč a její zabezpečení spadá až na jednu výjimku do kapitoly Ministerstvo vnitra. Taktéž je zde zahrnuta oblast </w:t>
      </w:r>
      <w:r w:rsidRPr="00972808">
        <w:rPr>
          <w:b/>
        </w:rPr>
        <w:t>civilní připravenosti na krizové stavy</w:t>
      </w:r>
      <w:r w:rsidRPr="00972808">
        <w:t>, kde výdaje státního rozpočtu v roce 2027 dosahují celkového objemu</w:t>
      </w:r>
      <w:r w:rsidRPr="00972808">
        <w:rPr>
          <w:b/>
        </w:rPr>
        <w:t xml:space="preserve"> </w:t>
      </w:r>
      <w:r w:rsidRPr="00972808">
        <w:t>5,2 mld. Kč, což znamená meziroční nárůst o necelou 0,1 mld. Kč.</w:t>
      </w:r>
    </w:p>
    <w:p w14:paraId="3C1C859C" w14:textId="1FE7B2AB" w:rsidR="00DB243C" w:rsidRPr="00972808" w:rsidRDefault="00DB243C" w:rsidP="00DB243C">
      <w:pPr>
        <w:pStyle w:val="SRTitulek1"/>
      </w:pPr>
      <w:bookmarkStart w:id="111" w:name="_Toc239067918"/>
      <w:bookmarkEnd w:id="110"/>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9</w:t>
      </w:r>
      <w:r w:rsidR="00391DA8" w:rsidRPr="00972808">
        <w:rPr>
          <w:noProof/>
        </w:rPr>
        <w:fldChar w:fldCharType="end"/>
      </w:r>
      <w:r w:rsidRPr="00972808">
        <w:t xml:space="preserve"> Struktura výdajů na bezpečnost státu a právní ochranu dle odvětvového členění v letech 202</w:t>
      </w:r>
      <w:r w:rsidR="008933BA" w:rsidRPr="00972808">
        <w:t>1</w:t>
      </w:r>
      <w:r w:rsidRPr="00972808">
        <w:t xml:space="preserve"> až 202</w:t>
      </w:r>
      <w:r w:rsidR="008933BA" w:rsidRPr="00972808">
        <w:t>7</w:t>
      </w:r>
      <w:r w:rsidRPr="00972808">
        <w:t xml:space="preserve"> </w:t>
      </w:r>
      <w:r w:rsidRPr="00972808">
        <w:rPr>
          <w:i/>
        </w:rPr>
        <w:t>(v % z celkových výdajů státního rozpočtu na bezpečnost státu a právní ochranu)</w:t>
      </w:r>
      <w:bookmarkEnd w:id="111"/>
    </w:p>
    <w:p w14:paraId="616190DC" w14:textId="5CF855A6" w:rsidR="007F6D76" w:rsidRPr="00972808" w:rsidRDefault="003968E2" w:rsidP="007F6D76">
      <w:pPr>
        <w:pStyle w:val="SRTextnomal"/>
      </w:pPr>
      <w:r w:rsidRPr="00972808">
        <w:rPr>
          <w:noProof/>
        </w:rPr>
        <w:drawing>
          <wp:inline distT="0" distB="0" distL="0" distR="0" wp14:anchorId="1C73CC46" wp14:editId="62A7F8F0">
            <wp:extent cx="5873117" cy="26289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0599" cy="2641201"/>
                    </a:xfrm>
                    <a:prstGeom prst="rect">
                      <a:avLst/>
                    </a:prstGeom>
                    <a:noFill/>
                  </pic:spPr>
                </pic:pic>
              </a:graphicData>
            </a:graphic>
          </wp:inline>
        </w:drawing>
      </w:r>
    </w:p>
    <w:p w14:paraId="71443DBA" w14:textId="77777777" w:rsidR="007F6D76" w:rsidRPr="00972808" w:rsidRDefault="007F6D76" w:rsidP="007F6D76">
      <w:pPr>
        <w:pStyle w:val="SRNadpis3"/>
      </w:pPr>
      <w:bookmarkStart w:id="112" w:name="_Toc239067830"/>
      <w:r w:rsidRPr="00972808">
        <w:t>Všeobecná veřejná správa a služby</w:t>
      </w:r>
      <w:bookmarkEnd w:id="112"/>
    </w:p>
    <w:p w14:paraId="6D83C3F7" w14:textId="77777777" w:rsidR="008933BA" w:rsidRPr="00972808" w:rsidRDefault="008933BA" w:rsidP="008933BA">
      <w:pPr>
        <w:pStyle w:val="SRTextnomal"/>
      </w:pPr>
      <w:r w:rsidRPr="00972808">
        <w:t xml:space="preserve">Výdaje v této skupině jsou rozpočtovány ve výši 308,5 mld. Kč a představují 12 % celkových výdajů zahrnutých v rozpočtu na rok 2027. Výdaje v této skupině jsou rozpočtovány především v kapitolách Všeobecná pokladní správa, Státní dluh a Ministerstvo financí. V uvedených kapitolách státního rozpočtu je rozpočtováno 92,8 % výdajů této skupiny. </w:t>
      </w:r>
    </w:p>
    <w:p w14:paraId="7301BEE8" w14:textId="77777777" w:rsidR="008933BA" w:rsidRPr="00972808" w:rsidRDefault="008933BA" w:rsidP="008933BA">
      <w:pPr>
        <w:pStyle w:val="SRTextnomal"/>
      </w:pPr>
      <w:r w:rsidRPr="00972808">
        <w:t xml:space="preserve">Objemově nejvýznamnější oblastí výdajů tvoří výdaje na </w:t>
      </w:r>
      <w:r w:rsidRPr="00972808">
        <w:rPr>
          <w:b/>
          <w:bCs/>
        </w:rPr>
        <w:t>finanční operace</w:t>
      </w:r>
      <w:r w:rsidRPr="00972808">
        <w:t>, a to s podílem 42,2 % na výdajích této skupiny. Pro rok 2027 jsou rozpočtovány ve výši 130,3 mld. Kč a jedná se zejména o výdaje na obsluhu státního dluhu, která v čase vykazuje trvale rostoucí trend.</w:t>
      </w:r>
    </w:p>
    <w:p w14:paraId="2505C4F1" w14:textId="7F0C1490" w:rsidR="008933BA" w:rsidRPr="00972808" w:rsidRDefault="008933BA" w:rsidP="008933BA">
      <w:pPr>
        <w:pStyle w:val="SRTextnomal"/>
      </w:pPr>
      <w:r w:rsidRPr="00972808">
        <w:t>Další významnou oblastí výdajů s podílem 41,</w:t>
      </w:r>
      <w:r w:rsidR="000F33DE" w:rsidRPr="00972808">
        <w:t>5</w:t>
      </w:r>
      <w:r w:rsidRPr="00972808">
        <w:t xml:space="preserve"> % jsou výdaje na </w:t>
      </w:r>
      <w:r w:rsidRPr="00972808">
        <w:rPr>
          <w:b/>
        </w:rPr>
        <w:t>výkon státní moci, na státní správu, územní samosprávu a politické strany</w:t>
      </w:r>
      <w:r w:rsidRPr="00972808">
        <w:t xml:space="preserve">, které v roce 2027 dosáhnou výše 127,8 mld. Kč. Uvedené prostředky jsou rozpočtovány především v kapitole Všeobecná pokladní správa a jedná se zejména o odvody do rozpočtu EU. Jak už název napovídá, jsou v rámci tohoto oddílu rozpočtovány výdaje na činnost některých kapitol státního rozpočtu a jejich podřízených organizačních složek státu (např. na činnost Ministerstva financí a orgánů Finanční správy ČR a Generálního ředitelství cel a celních úřadů) a dále např. na činnost zastupitelských orgánů na jednotlivých úrovních a na volby do těchto zastupitelských orgánů.  </w:t>
      </w:r>
    </w:p>
    <w:p w14:paraId="6961125D" w14:textId="77777777" w:rsidR="008933BA" w:rsidRPr="00972808" w:rsidRDefault="008933BA" w:rsidP="008933BA">
      <w:pPr>
        <w:pStyle w:val="SRTextnomal"/>
      </w:pPr>
      <w:r w:rsidRPr="00972808">
        <w:t xml:space="preserve">S výrazným odstupem následují výdaje na tzv. </w:t>
      </w:r>
      <w:r w:rsidRPr="00972808">
        <w:rPr>
          <w:b/>
        </w:rPr>
        <w:t>ostatní činnosti</w:t>
      </w:r>
      <w:r w:rsidRPr="00972808">
        <w:t xml:space="preserve"> (14,1 %), které jsou pro rok 2027 rozpočtovány ve výši 43,6 mld. Kč. Tento oddíl zahrnuje ve valné míře neinvestiční transfery obcím a krajům. </w:t>
      </w:r>
    </w:p>
    <w:p w14:paraId="4C0A5832" w14:textId="77777777" w:rsidR="008933BA" w:rsidRPr="00972808" w:rsidRDefault="008933BA" w:rsidP="008933BA">
      <w:pPr>
        <w:pStyle w:val="SRTextnomal"/>
      </w:pPr>
      <w:r w:rsidRPr="00972808">
        <w:t xml:space="preserve">Objemově nejmenší oblastí je oddíl s názvem </w:t>
      </w:r>
      <w:r w:rsidRPr="00972808">
        <w:rPr>
          <w:b/>
        </w:rPr>
        <w:t xml:space="preserve">jiné veřejné služby a činnosti </w:t>
      </w:r>
      <w:r w:rsidRPr="00972808">
        <w:t>(2,2 %) s rozpočtem na rok 2027 ve výši 6,9 mld. Kč. Výdaje jsou zde rozpočtované především v kapitolách Ministerstvo vnitra a Ministerstvo zahraničních věcí a jedná se zejména o výdaje na zahraniční pomoc poskytovanou z humanitárních důvodů a mezinárodní spolupráci. Významné zastoupení zde mají i výdaje na archivní činnost rozpočtované v kapitolách Ministerstvo vnitra a Ústav pro studium totalitních režimů.</w:t>
      </w:r>
    </w:p>
    <w:p w14:paraId="21C50118" w14:textId="602EA5DB" w:rsidR="00BF4932" w:rsidRPr="00972808" w:rsidRDefault="00BF4932" w:rsidP="00BF4932">
      <w:pPr>
        <w:pStyle w:val="Titulek"/>
      </w:pPr>
      <w:bookmarkStart w:id="113" w:name="_Toc239067919"/>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10</w:t>
      </w:r>
      <w:r w:rsidR="00391DA8" w:rsidRPr="00972808">
        <w:rPr>
          <w:noProof/>
        </w:rPr>
        <w:fldChar w:fldCharType="end"/>
      </w:r>
      <w:r w:rsidRPr="00972808">
        <w:t xml:space="preserve"> Struktura výdajů na všeobecnou veřejnou správu a služby dle odvětvového členění v letech 202</w:t>
      </w:r>
      <w:r w:rsidR="008933BA" w:rsidRPr="00972808">
        <w:t>1</w:t>
      </w:r>
      <w:r w:rsidRPr="00972808">
        <w:t xml:space="preserve"> až 202</w:t>
      </w:r>
      <w:r w:rsidR="008933BA" w:rsidRPr="00972808">
        <w:t>7</w:t>
      </w:r>
      <w:r w:rsidRPr="00972808">
        <w:t xml:space="preserve"> </w:t>
      </w:r>
      <w:r w:rsidRPr="00972808">
        <w:rPr>
          <w:i/>
        </w:rPr>
        <w:t>(v % z celkových výdajů státního rozpočtu na všeobecnou veřejnou správu a služby)</w:t>
      </w:r>
      <w:bookmarkEnd w:id="113"/>
    </w:p>
    <w:p w14:paraId="2A3E118B" w14:textId="49DFC244" w:rsidR="00BF4932" w:rsidRPr="00972808" w:rsidRDefault="008933BA" w:rsidP="007F6D76">
      <w:pPr>
        <w:pStyle w:val="SRTextnomal"/>
      </w:pPr>
      <w:r w:rsidRPr="00972808">
        <w:rPr>
          <w:noProof/>
        </w:rPr>
        <w:drawing>
          <wp:inline distT="0" distB="0" distL="0" distR="0" wp14:anchorId="2097B1BD" wp14:editId="48CBCD1E">
            <wp:extent cx="6121388" cy="3504566"/>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9099" cy="3520431"/>
                    </a:xfrm>
                    <a:prstGeom prst="rect">
                      <a:avLst/>
                    </a:prstGeom>
                    <a:noFill/>
                  </pic:spPr>
                </pic:pic>
              </a:graphicData>
            </a:graphic>
          </wp:inline>
        </w:drawing>
      </w:r>
    </w:p>
    <w:p w14:paraId="51103B97" w14:textId="77777777" w:rsidR="007F6D76" w:rsidRPr="00972808" w:rsidRDefault="007F6D76" w:rsidP="007F6D76">
      <w:pPr>
        <w:pStyle w:val="SRNadpis3"/>
      </w:pPr>
      <w:bookmarkStart w:id="114" w:name="_Toc239067831"/>
      <w:r w:rsidRPr="00972808">
        <w:t>Průmyslová a ostatní odvětví hospodářství</w:t>
      </w:r>
      <w:bookmarkEnd w:id="114"/>
    </w:p>
    <w:p w14:paraId="56C2DAF1" w14:textId="77777777" w:rsidR="00C95E62" w:rsidRPr="00972808" w:rsidRDefault="00C95E62" w:rsidP="00C95E62">
      <w:pPr>
        <w:pStyle w:val="SRTextnomal"/>
      </w:pPr>
      <w:r w:rsidRPr="00972808">
        <w:t xml:space="preserve">Výdaje ve skupině </w:t>
      </w:r>
      <w:r w:rsidRPr="00972808">
        <w:rPr>
          <w:b/>
        </w:rPr>
        <w:t xml:space="preserve">průmyslová a ostatní odvětví hospodářství </w:t>
      </w:r>
      <w:r w:rsidRPr="00972808">
        <w:t xml:space="preserve">ve výši 243,4 mld. Kč a s podílem 9,4 % na celkových výdajích státního rozpočtu se skládají z několika částí. Objemově největší z nich jsou výdaje odvětví </w:t>
      </w:r>
      <w:r w:rsidRPr="00972808">
        <w:rPr>
          <w:b/>
        </w:rPr>
        <w:t xml:space="preserve">doprava </w:t>
      </w:r>
      <w:r w:rsidRPr="00972808">
        <w:rPr>
          <w:bCs/>
        </w:rPr>
        <w:t>(s objemem 163,4 mld. Kč a podílem 67,1 %),</w:t>
      </w:r>
      <w:r w:rsidRPr="00972808">
        <w:rPr>
          <w:b/>
        </w:rPr>
        <w:t xml:space="preserve"> </w:t>
      </w:r>
      <w:r w:rsidRPr="00972808">
        <w:t xml:space="preserve">kde dominují výdaje Ministerstva dopravy. </w:t>
      </w:r>
    </w:p>
    <w:p w14:paraId="0C56463E" w14:textId="77777777" w:rsidR="00C95E62" w:rsidRPr="00972808" w:rsidRDefault="00C95E62" w:rsidP="00C95E62">
      <w:pPr>
        <w:pStyle w:val="SRTextnomal"/>
      </w:pPr>
      <w:r w:rsidRPr="00972808">
        <w:t xml:space="preserve">Následuje </w:t>
      </w:r>
      <w:r w:rsidRPr="00972808">
        <w:rPr>
          <w:b/>
        </w:rPr>
        <w:t xml:space="preserve">průmysl, stavebnictví, obchod a služby </w:t>
      </w:r>
      <w:r w:rsidRPr="00972808">
        <w:rPr>
          <w:bCs/>
        </w:rPr>
        <w:t>(s objemem 65,2 mld. Kč a s podílem 26,8 %)</w:t>
      </w:r>
      <w:r w:rsidRPr="00972808">
        <w:t xml:space="preserve">, které jsou zahrnuty z 97,3 % v rozpočtové kapitole Ministerstvo průmyslu a obchodu. Z toho významnou část představují výdaje na úspory energie a obnovitelné zdroje, opatření ke zvýšení konkurenceschopnosti průmyslových odvětví a podporu činnosti jaderných elektráren. Patří sem také výdaje Českého báňského úřadu, Energetického regulačního úřadu a Státního úřadu pro jadernou bezpečnost. Ministerstvo pro místní rozvoj výdaji ve své kompetenci podporuje cestovní ruch. </w:t>
      </w:r>
    </w:p>
    <w:p w14:paraId="64D16135" w14:textId="77777777" w:rsidR="00C95E62" w:rsidRPr="00972808" w:rsidDel="00CB30D4" w:rsidRDefault="00C95E62" w:rsidP="00C95E62">
      <w:pPr>
        <w:pStyle w:val="SRTextnomal"/>
      </w:pPr>
      <w:r w:rsidRPr="00972808">
        <w:t xml:space="preserve">Minoritní podíly v této skupině zaujímají výdaje </w:t>
      </w:r>
      <w:r w:rsidRPr="00972808">
        <w:rPr>
          <w:b/>
        </w:rPr>
        <w:t>na všeobecné hospodářské záležitosti a ostatní ekonomické funkce, vodní hospodářství a spoje</w:t>
      </w:r>
      <w:r w:rsidRPr="00972808">
        <w:rPr>
          <w:bCs/>
        </w:rPr>
        <w:t>.</w:t>
      </w:r>
    </w:p>
    <w:p w14:paraId="302A69FE" w14:textId="77777777" w:rsidR="007F6D76" w:rsidRPr="00972808" w:rsidRDefault="007F6D76" w:rsidP="007F6D76">
      <w:pPr>
        <w:pStyle w:val="SRNadpis3"/>
      </w:pPr>
      <w:bookmarkStart w:id="115" w:name="_Toc239067832"/>
      <w:r w:rsidRPr="00972808">
        <w:t>Zemědělství, lesní hospodářství a rybářství</w:t>
      </w:r>
      <w:bookmarkEnd w:id="115"/>
    </w:p>
    <w:p w14:paraId="15D87AC7" w14:textId="77777777" w:rsidR="00C95E62" w:rsidRPr="00972808" w:rsidRDefault="00C95E62" w:rsidP="00C95E62">
      <w:pPr>
        <w:pStyle w:val="SRTextnomal"/>
      </w:pPr>
      <w:r w:rsidRPr="00972808">
        <w:t xml:space="preserve">Výdaje v odvětví </w:t>
      </w:r>
      <w:r w:rsidRPr="00972808">
        <w:rPr>
          <w:b/>
        </w:rPr>
        <w:t xml:space="preserve">zemědělství, lesní hospodářství a rybářství </w:t>
      </w:r>
      <w:r w:rsidRPr="00972808">
        <w:t>ve výši 60,7 mld. Kč představují 2,4 % podíl na celkových výdajích státního rozpočtu. Tyto výdaje</w:t>
      </w:r>
      <w:r w:rsidRPr="00972808">
        <w:rPr>
          <w:b/>
        </w:rPr>
        <w:t xml:space="preserve"> </w:t>
      </w:r>
      <w:r w:rsidRPr="00972808">
        <w:t xml:space="preserve">jsou téměř ze 100 % obsaženy v rozpočtové kapitole Ministerstvo zemědělství, a to především na udržování zemědělského půdního fondu a mimoprodukční funkce zemědělství a na podporu podnikání v zemědělství a potravinářství. Výdaje v tomto odvětví jsou vynakládány také Kanceláří prezidenta republiky na lesní hospodářství a pěstební činnost. </w:t>
      </w:r>
    </w:p>
    <w:p w14:paraId="1CB1B822" w14:textId="77777777" w:rsidR="001B697D" w:rsidRPr="00972808" w:rsidRDefault="001B697D" w:rsidP="001B697D">
      <w:pPr>
        <w:pStyle w:val="SRNadpis2"/>
      </w:pPr>
      <w:bookmarkStart w:id="116" w:name="_Toc239067833"/>
      <w:r w:rsidRPr="00972808">
        <w:lastRenderedPageBreak/>
        <w:t>Kapitálové výdaje</w:t>
      </w:r>
      <w:bookmarkEnd w:id="116"/>
    </w:p>
    <w:p w14:paraId="4F42ADA8" w14:textId="5A894E6C" w:rsidR="00EE34D1" w:rsidRPr="00972808" w:rsidRDefault="00EE34D1" w:rsidP="00EE34D1">
      <w:pPr>
        <w:pStyle w:val="SRTitulek1"/>
        <w:rPr>
          <w:i/>
        </w:rPr>
      </w:pPr>
      <w:bookmarkStart w:id="117" w:name="_Toc239067920"/>
      <w:bookmarkEnd w:id="102"/>
      <w:r w:rsidRPr="00972808">
        <w:t xml:space="preserve">Graf </w:t>
      </w:r>
      <w:r w:rsidRPr="00972808">
        <w:fldChar w:fldCharType="begin"/>
      </w:r>
      <w:r w:rsidRPr="00972808">
        <w:instrText xml:space="preserve"> SEQ Graf \* ARABIC </w:instrText>
      </w:r>
      <w:r w:rsidRPr="00972808">
        <w:fldChar w:fldCharType="separate"/>
      </w:r>
      <w:r w:rsidR="00344480">
        <w:rPr>
          <w:noProof/>
        </w:rPr>
        <w:t>11</w:t>
      </w:r>
      <w:r w:rsidRPr="00972808">
        <w:fldChar w:fldCharType="end"/>
      </w:r>
      <w:r w:rsidRPr="00972808">
        <w:t xml:space="preserve"> Vývoj kapitálových výdajů </w:t>
      </w:r>
      <w:r w:rsidRPr="00972808">
        <w:rPr>
          <w:i/>
        </w:rPr>
        <w:t>(v mld. Kč a v %)</w:t>
      </w:r>
      <w:bookmarkEnd w:id="117"/>
    </w:p>
    <w:p w14:paraId="6BB18DD7" w14:textId="70510C6C" w:rsidR="00EE34D1" w:rsidRPr="00972808" w:rsidRDefault="00C63B31" w:rsidP="001F426F">
      <w:pPr>
        <w:pStyle w:val="SRTextnomal"/>
      </w:pPr>
      <w:r w:rsidRPr="00972808">
        <w:rPr>
          <w:noProof/>
        </w:rPr>
        <w:drawing>
          <wp:inline distT="0" distB="0" distL="0" distR="0" wp14:anchorId="7C80A8DB" wp14:editId="2BAF2267">
            <wp:extent cx="6104956" cy="488333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9421" cy="4894901"/>
                    </a:xfrm>
                    <a:prstGeom prst="rect">
                      <a:avLst/>
                    </a:prstGeom>
                    <a:noFill/>
                  </pic:spPr>
                </pic:pic>
              </a:graphicData>
            </a:graphic>
          </wp:inline>
        </w:drawing>
      </w:r>
    </w:p>
    <w:p w14:paraId="031DE614" w14:textId="26092F79" w:rsidR="00EE34D1" w:rsidRPr="00972808" w:rsidRDefault="00EE34D1" w:rsidP="001F426F">
      <w:pPr>
        <w:pStyle w:val="SRTextnomal"/>
      </w:pPr>
      <w:r w:rsidRPr="00972808">
        <w:t>Celkové kapitálové výdaje dosáhnou v roce 2027 rekordní výše tj. 289,6 mld. Kč. Tento nárůst je tažen z domácích zdroj</w:t>
      </w:r>
      <w:r w:rsidR="00DD054F">
        <w:t xml:space="preserve">ů, </w:t>
      </w:r>
      <w:r w:rsidRPr="00972808">
        <w:t>výše výdajů krytých příjmy z</w:t>
      </w:r>
      <w:r w:rsidR="001B077C" w:rsidRPr="00972808">
        <w:t> rozpočtu</w:t>
      </w:r>
      <w:r w:rsidRPr="00972808">
        <w:t xml:space="preserve"> EU meziročně </w:t>
      </w:r>
      <w:r w:rsidR="001D6B8D" w:rsidRPr="00972808">
        <w:t>opět</w:t>
      </w:r>
      <w:r w:rsidRPr="00972808">
        <w:t xml:space="preserve"> klesá, konkrétně</w:t>
      </w:r>
      <w:r w:rsidR="006171E3" w:rsidRPr="00972808">
        <w:t xml:space="preserve"> </w:t>
      </w:r>
      <w:r w:rsidRPr="00972808">
        <w:t xml:space="preserve">o 21,2 mld. Kč. Podíl kapitálových výdajů na celkových výdajích po loňském poklesu opět směřuje nahoru, dokonce je vyšší než v roce 2025. Podíl vůči HDP </w:t>
      </w:r>
      <w:r w:rsidR="001D6B8D" w:rsidRPr="00972808">
        <w:t>od roku 2025 se pohybuje stabilně kolem 3 %</w:t>
      </w:r>
      <w:r w:rsidRPr="00972808">
        <w:t>.</w:t>
      </w:r>
    </w:p>
    <w:p w14:paraId="7DD9E86D" w14:textId="41882595" w:rsidR="00EE34D1" w:rsidRPr="00972808" w:rsidRDefault="00EE34D1" w:rsidP="001F426F">
      <w:pPr>
        <w:pStyle w:val="SRTextnomal"/>
      </w:pPr>
      <w:r w:rsidRPr="00972808">
        <w:t>Kapitálové výdaje dominantně</w:t>
      </w:r>
      <w:r w:rsidR="000F33DE" w:rsidRPr="00972808">
        <w:t>,</w:t>
      </w:r>
      <w:r w:rsidRPr="00972808">
        <w:t xml:space="preserve"> tj. ve výši 1</w:t>
      </w:r>
      <w:r w:rsidR="001B077C" w:rsidRPr="00972808">
        <w:t>17,7</w:t>
      </w:r>
      <w:r w:rsidRPr="00972808">
        <w:t xml:space="preserve"> mld. Kč</w:t>
      </w:r>
      <w:r w:rsidR="000F33DE" w:rsidRPr="00972808">
        <w:t>,</w:t>
      </w:r>
      <w:r w:rsidRPr="00972808">
        <w:t xml:space="preserve"> směřují do </w:t>
      </w:r>
      <w:r w:rsidR="001B077C" w:rsidRPr="00972808">
        <w:t>kapitoly Ministerstvo dopravy (meziročně nárůst o</w:t>
      </w:r>
      <w:r w:rsidR="00177E3B" w:rsidRPr="00972808">
        <w:t> </w:t>
      </w:r>
      <w:r w:rsidR="001B077C" w:rsidRPr="00972808">
        <w:t>15,8 mld. Kč) a kapitoly Ministerstvo obrany ve výši 75,9 mld. Kč (meziročně nárůst o</w:t>
      </w:r>
      <w:r w:rsidR="00CB4ECD" w:rsidRPr="00972808">
        <w:t xml:space="preserve"> </w:t>
      </w:r>
      <w:r w:rsidR="001B077C" w:rsidRPr="00972808">
        <w:t>26,2 mld. Kč</w:t>
      </w:r>
      <w:r w:rsidR="001A6954" w:rsidRPr="00972808">
        <w:t>)</w:t>
      </w:r>
      <w:r w:rsidR="001B077C" w:rsidRPr="00972808">
        <w:t>. Objemově třetí nejvýznamnější kapitolou je i přes meziroční pokles ve výši 10,2 mld. Kč kapitola Ministerstvo pro místní rozvoj, která předpokládá v roce 2027 vydat na kapitálové výdaje 18,1 mld. Kč.</w:t>
      </w:r>
      <w:r w:rsidR="006709FC" w:rsidRPr="00972808">
        <w:t xml:space="preserve"> V kapitolách Ministerstvo životního prostředí a</w:t>
      </w:r>
      <w:r w:rsidR="00177E3B" w:rsidRPr="00972808">
        <w:t> </w:t>
      </w:r>
      <w:r w:rsidR="006709FC" w:rsidRPr="00972808">
        <w:t>Ministerstvo zemědělství se očekávají kapitálové výdaje ve výši přibližně 15,5 mld. Kč.</w:t>
      </w:r>
    </w:p>
    <w:p w14:paraId="138E9E8E" w14:textId="0436EF0B" w:rsidR="006709FC" w:rsidRPr="00972808" w:rsidRDefault="006709FC" w:rsidP="001F426F">
      <w:pPr>
        <w:pStyle w:val="SRTextnomal"/>
      </w:pPr>
      <w:r w:rsidRPr="00972808">
        <w:t>Odvětvové zaměření výdajů kopíruje věcnou gesci ministerstev</w:t>
      </w:r>
      <w:r w:rsidR="00CB4ECD" w:rsidRPr="00972808">
        <w:t>.</w:t>
      </w:r>
      <w:r w:rsidRPr="00972808">
        <w:t xml:space="preserve"> </w:t>
      </w:r>
      <w:r w:rsidR="00CB4ECD" w:rsidRPr="00972808">
        <w:t>N</w:t>
      </w:r>
      <w:r w:rsidRPr="00972808">
        <w:t>ejvýznamněji</w:t>
      </w:r>
      <w:r w:rsidR="00D10FFA" w:rsidRPr="00972808">
        <w:t>,</w:t>
      </w:r>
      <w:r w:rsidRPr="00972808">
        <w:t xml:space="preserve"> tj. ve výši 135 mld. Kč</w:t>
      </w:r>
      <w:r w:rsidR="00D10FFA" w:rsidRPr="00972808">
        <w:t>,</w:t>
      </w:r>
      <w:r w:rsidRPr="00972808">
        <w:t xml:space="preserve"> je zastoupena skupina průmyslová a ostatní odvětví, jehož součástí je doprava, ale v této skupině </w:t>
      </w:r>
      <w:r w:rsidR="00CB4ECD" w:rsidRPr="00972808">
        <w:t>realizuje většinově své investice také Ministerstvo průmyslu a obchodu ve výši 13 mld. Kč</w:t>
      </w:r>
      <w:r w:rsidRPr="00972808">
        <w:t>.</w:t>
      </w:r>
      <w:r w:rsidR="00CB4ECD" w:rsidRPr="00972808">
        <w:t xml:space="preserve"> Druhé objemově nejvýznamnější odvětví je bezpečnost státu a právní ochrana, kam celkově směřuje 87,6 mld. Kč kapitálových výdajů. Kromě Ministerstva obrany </w:t>
      </w:r>
      <w:r w:rsidR="0009609C" w:rsidRPr="00972808">
        <w:t>zde téměř 12 mld.</w:t>
      </w:r>
      <w:r w:rsidR="00D10FFA" w:rsidRPr="00972808">
        <w:t> </w:t>
      </w:r>
      <w:r w:rsidR="0009609C" w:rsidRPr="00972808">
        <w:t xml:space="preserve">Kč na investice plánuje Ministerstvo vnitra. Do odvětví služeb pro fyzické osoby s celkovou výší investic téměř 51 mld. Kč spadají zejména výdaje na investice do vzdělávání 3,2 mld. Kč, kulturu a církve 3,1 mld. Kč, sport a zájmovou činnost 2,2 mld. Kč, zdravotnictví 5,5 mld. Kč, </w:t>
      </w:r>
      <w:r w:rsidR="007D65D2" w:rsidRPr="00972808">
        <w:t xml:space="preserve">bydlení, komunální služby a územní rozvoj 18,6 mld. Kč nebo na ochranu životního prostředí 16,6 mld. Kč. V neposlední řadě stát realizuje také investice do zemědělství a lesního hospodářství v celkové výši </w:t>
      </w:r>
      <w:r w:rsidR="006171E3" w:rsidRPr="00972808">
        <w:t>12 mld. Kč.</w:t>
      </w:r>
    </w:p>
    <w:p w14:paraId="60049F6A" w14:textId="6998761C" w:rsidR="00573824" w:rsidRPr="00972808" w:rsidRDefault="00573824" w:rsidP="00573824">
      <w:pPr>
        <w:pStyle w:val="SRTextnomal"/>
      </w:pPr>
      <w:r w:rsidRPr="00972808">
        <w:t xml:space="preserve">Podrobné číselné údaje </w:t>
      </w:r>
      <w:r w:rsidR="006171E3" w:rsidRPr="00972808">
        <w:t xml:space="preserve">podle jednotlivých rozpočtových kapitol </w:t>
      </w:r>
      <w:r w:rsidRPr="00972808">
        <w:t xml:space="preserve">lze najít v Tabulkové části materiálu v tabulce č. 6, detailněji k vybraným rozpočtových kapitolám lze informace dohledat v části </w:t>
      </w:r>
      <w:r w:rsidR="001F426F" w:rsidRPr="00972808">
        <w:fldChar w:fldCharType="begin"/>
      </w:r>
      <w:r w:rsidR="001F426F" w:rsidRPr="00972808">
        <w:instrText xml:space="preserve"> REF _Ref220772256 \r \h </w:instrText>
      </w:r>
      <w:r w:rsidR="008C00C2" w:rsidRPr="00972808">
        <w:instrText xml:space="preserve"> \* MERGEFORMAT </w:instrText>
      </w:r>
      <w:r w:rsidR="001F426F" w:rsidRPr="00972808">
        <w:fldChar w:fldCharType="separate"/>
      </w:r>
      <w:r w:rsidR="00344480">
        <w:t>5</w:t>
      </w:r>
      <w:r w:rsidR="001F426F" w:rsidRPr="00972808">
        <w:fldChar w:fldCharType="end"/>
      </w:r>
      <w:r w:rsidRPr="00972808">
        <w:t xml:space="preserve"> tohoto dokumentu.</w:t>
      </w:r>
    </w:p>
    <w:p w14:paraId="1FE79ED3" w14:textId="6FC3F8DF" w:rsidR="00902330" w:rsidRPr="00972808" w:rsidRDefault="00902330" w:rsidP="00D06E57">
      <w:pPr>
        <w:pStyle w:val="SRNadpis2"/>
      </w:pPr>
      <w:bookmarkStart w:id="118" w:name="_Toc239067834"/>
      <w:r w:rsidRPr="00972808">
        <w:t>Mandatorní výdaje</w:t>
      </w:r>
      <w:bookmarkEnd w:id="101"/>
      <w:bookmarkEnd w:id="118"/>
    </w:p>
    <w:p w14:paraId="7D543618" w14:textId="33CF89DA" w:rsidR="00902330" w:rsidRPr="00972808" w:rsidRDefault="00902330" w:rsidP="00F17546">
      <w:pPr>
        <w:pStyle w:val="SRTextnomal"/>
      </w:pPr>
      <w:r w:rsidRPr="00972808">
        <w:t>Výdajovou stranu státního rozpočtu lze hodnotit podle různých kritérií. Jedním z nich je kritérium zákonné předurčenosti výdajových položek, podle něhož lze odlišit výdaje mandatorní, kt</w:t>
      </w:r>
      <w:r w:rsidR="005F10F2" w:rsidRPr="00972808">
        <w:t>eré je vláda povinna uhradit, a </w:t>
      </w:r>
      <w:r w:rsidRPr="00972808">
        <w:t>výdaje ostatní (nemandatorní), v jejichž rámci může vláda pružně reagovat na měnící se podmínky fungování organizačních složek státu a na změny v jejich aktivitách.</w:t>
      </w:r>
    </w:p>
    <w:p w14:paraId="3210A07B" w14:textId="77777777" w:rsidR="00922F74" w:rsidRPr="00972808" w:rsidRDefault="00922F74" w:rsidP="00922F74">
      <w:pPr>
        <w:pStyle w:val="SRTextnomal"/>
        <w:keepNext/>
      </w:pPr>
      <w:r w:rsidRPr="00972808">
        <w:t>Mandatorní výdaje lze členit do dvou sledovaných kategorií, a to na:</w:t>
      </w:r>
    </w:p>
    <w:p w14:paraId="42E96321" w14:textId="77777777" w:rsidR="00922F74" w:rsidRPr="00972808" w:rsidRDefault="00922F74" w:rsidP="00344F6B">
      <w:pPr>
        <w:pStyle w:val="SROdrka1"/>
      </w:pPr>
      <w:r w:rsidRPr="00972808">
        <w:t>mandatorní výdaje vyplývající ze zákona a</w:t>
      </w:r>
    </w:p>
    <w:p w14:paraId="0E8CB7AB" w14:textId="6F810AE4" w:rsidR="00922F74" w:rsidRPr="00972808" w:rsidRDefault="00922F74" w:rsidP="00344F6B">
      <w:pPr>
        <w:pStyle w:val="SROdrka1"/>
      </w:pPr>
      <w:r w:rsidRPr="00972808">
        <w:t xml:space="preserve">ostatní mandatorní výdaje a quasi mandatorní výdaje, mezi které patří zejména výdaje </w:t>
      </w:r>
      <w:r w:rsidR="00B53C03" w:rsidRPr="00972808">
        <w:t>na odvody do rozpočtu EU nebo výdaje organizačních složek státu</w:t>
      </w:r>
      <w:r w:rsidRPr="00972808">
        <w:t xml:space="preserve"> a </w:t>
      </w:r>
      <w:r w:rsidR="00B53C03" w:rsidRPr="00972808">
        <w:t>státních příspěvkových organizací</w:t>
      </w:r>
      <w:r w:rsidRPr="00972808">
        <w:t xml:space="preserve"> na platy vč. příslušenství.</w:t>
      </w:r>
    </w:p>
    <w:p w14:paraId="476EC3F5" w14:textId="40E646DB" w:rsidR="00922F74" w:rsidRPr="00972808" w:rsidRDefault="00922F74" w:rsidP="008F1D2E">
      <w:pPr>
        <w:pStyle w:val="SRTextnomal"/>
      </w:pPr>
      <w:r w:rsidRPr="00972808">
        <w:t xml:space="preserve">Celý soubor </w:t>
      </w:r>
      <w:r w:rsidR="00AF4A40" w:rsidRPr="00972808">
        <w:t>mandatorních výdajů je sledován</w:t>
      </w:r>
      <w:r w:rsidRPr="00972808">
        <w:t xml:space="preserve"> bez prostředků krytých příjmy z EU, FM a úč. operací v rámci PRV.</w:t>
      </w:r>
    </w:p>
    <w:p w14:paraId="6B57A1F1" w14:textId="2A7ED288" w:rsidR="009E08ED" w:rsidRPr="00972808" w:rsidRDefault="00922F74" w:rsidP="009E08ED">
      <w:pPr>
        <w:pStyle w:val="SRTextnomal"/>
      </w:pPr>
      <w:r w:rsidRPr="00972808">
        <w:t xml:space="preserve">Souhrnné údaje o těchto výdajích jsou uvedeny v následující tabulce a grafech (podrobné údaje jsou uvedeny v příloze č. 1 této Zprávy). </w:t>
      </w:r>
    </w:p>
    <w:p w14:paraId="45E314F7" w14:textId="1E5CA322" w:rsidR="0076577A" w:rsidRPr="00972808" w:rsidRDefault="0076577A" w:rsidP="000D440D">
      <w:pPr>
        <w:pStyle w:val="SRTitulek1"/>
        <w:rPr>
          <w:i/>
        </w:rPr>
      </w:pPr>
      <w:bookmarkStart w:id="119" w:name="_Toc239067921"/>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12</w:t>
      </w:r>
      <w:r w:rsidR="00391DA8" w:rsidRPr="00972808">
        <w:rPr>
          <w:noProof/>
        </w:rPr>
        <w:fldChar w:fldCharType="end"/>
      </w:r>
      <w:r w:rsidRPr="00972808">
        <w:t xml:space="preserve"> Vývoj základních ukazatelů státního rozpočtu </w:t>
      </w:r>
      <w:r w:rsidR="0097753D" w:rsidRPr="00972808">
        <w:t>bez</w:t>
      </w:r>
      <w:r w:rsidR="00CC52A6" w:rsidRPr="00972808">
        <w:t xml:space="preserve"> EU/FM a úč. oper. v rámci </w:t>
      </w:r>
      <w:r w:rsidR="00A765BF" w:rsidRPr="00972808">
        <w:t xml:space="preserve">PRV </w:t>
      </w:r>
      <w:r w:rsidRPr="00972808">
        <w:rPr>
          <w:i/>
        </w:rPr>
        <w:t>(v mld. Kč)</w:t>
      </w:r>
      <w:bookmarkEnd w:id="119"/>
    </w:p>
    <w:p w14:paraId="4A45871D" w14:textId="19E2F27A" w:rsidR="009E08ED" w:rsidRPr="00972808" w:rsidRDefault="00EB0DF1" w:rsidP="009E08ED">
      <w:pPr>
        <w:pStyle w:val="SRTextnomal"/>
      </w:pPr>
      <w:bookmarkStart w:id="120" w:name="_Toc80264006"/>
      <w:r w:rsidRPr="00972808">
        <w:rPr>
          <w:noProof/>
        </w:rPr>
        <w:drawing>
          <wp:inline distT="0" distB="0" distL="0" distR="0" wp14:anchorId="3F8692CD" wp14:editId="6C38596E">
            <wp:extent cx="5950424" cy="3598696"/>
            <wp:effectExtent l="0" t="0" r="0" b="190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68667" cy="3609729"/>
                    </a:xfrm>
                    <a:prstGeom prst="rect">
                      <a:avLst/>
                    </a:prstGeom>
                    <a:noFill/>
                  </pic:spPr>
                </pic:pic>
              </a:graphicData>
            </a:graphic>
          </wp:inline>
        </w:drawing>
      </w:r>
    </w:p>
    <w:p w14:paraId="40E10DB1" w14:textId="2EA12428" w:rsidR="00B53C03" w:rsidRPr="00972808" w:rsidRDefault="00B53C03" w:rsidP="00B53C03">
      <w:pPr>
        <w:pStyle w:val="SRTextnomal"/>
      </w:pPr>
      <w:r w:rsidRPr="00972808">
        <w:t>Na výše uvedeném grafu je nejpodstatnější sledovat, jak velká mezera zůstává mezi absolutní výší celkových mandatorních výdajů</w:t>
      </w:r>
      <w:r w:rsidR="004F1959" w:rsidRPr="00972808">
        <w:t xml:space="preserve"> (sloupce)</w:t>
      </w:r>
      <w:r w:rsidRPr="00972808">
        <w:t xml:space="preserve"> a </w:t>
      </w:r>
      <w:r w:rsidR="004F1959" w:rsidRPr="00972808">
        <w:t xml:space="preserve">celkovými </w:t>
      </w:r>
      <w:r w:rsidRPr="00972808">
        <w:t>příjmy nebo výdaji</w:t>
      </w:r>
      <w:r w:rsidR="004F1959" w:rsidRPr="00972808">
        <w:t xml:space="preserve"> (křivky)</w:t>
      </w:r>
      <w:r w:rsidRPr="00972808">
        <w:t xml:space="preserve">. Pokud příjmová křivka protne celkové mandatorní výdaje, není </w:t>
      </w:r>
      <w:r w:rsidR="004F1959" w:rsidRPr="00972808">
        <w:t xml:space="preserve">již </w:t>
      </w:r>
      <w:r w:rsidRPr="00972808">
        <w:t>stát schopen výběrem příjmů zabezpečit nemanda</w:t>
      </w:r>
      <w:r w:rsidR="00177E3B" w:rsidRPr="00972808">
        <w:t>t</w:t>
      </w:r>
      <w:r w:rsidRPr="00972808">
        <w:t>o</w:t>
      </w:r>
      <w:r w:rsidR="00177E3B" w:rsidRPr="00972808">
        <w:t>r</w:t>
      </w:r>
      <w:r w:rsidRPr="00972808">
        <w:t xml:space="preserve">ní </w:t>
      </w:r>
      <w:r w:rsidR="004F1959" w:rsidRPr="00972808">
        <w:t>část výdajů. Tento případ nastal v roce 2021 a jeho příčin</w:t>
      </w:r>
      <w:r w:rsidR="00385AAF" w:rsidRPr="00972808">
        <w:t>u lze přisoudi</w:t>
      </w:r>
      <w:r w:rsidR="00A46241" w:rsidRPr="00972808">
        <w:t>t</w:t>
      </w:r>
      <w:r w:rsidR="004F1959" w:rsidRPr="00972808">
        <w:t xml:space="preserve"> pandemi</w:t>
      </w:r>
      <w:r w:rsidR="00385AAF" w:rsidRPr="00972808">
        <w:t>i</w:t>
      </w:r>
      <w:r w:rsidR="004F1959" w:rsidRPr="00972808">
        <w:t xml:space="preserve"> Covid-19. V případě porovnání </w:t>
      </w:r>
      <w:r w:rsidR="009002B7" w:rsidRPr="00972808">
        <w:t xml:space="preserve">ještě </w:t>
      </w:r>
      <w:r w:rsidR="004F1959" w:rsidRPr="00972808">
        <w:t xml:space="preserve">s křivkou celkových výdajů nám větší prostor mezi </w:t>
      </w:r>
      <w:r w:rsidR="00385AAF" w:rsidRPr="00972808">
        <w:t>ní a sloupcem mandatorních výdajů</w:t>
      </w:r>
      <w:r w:rsidR="004F1959" w:rsidRPr="00972808">
        <w:t xml:space="preserve"> </w:t>
      </w:r>
      <w:r w:rsidR="009002B7" w:rsidRPr="00972808">
        <w:t xml:space="preserve">sice </w:t>
      </w:r>
      <w:r w:rsidR="004F1959" w:rsidRPr="00972808">
        <w:t xml:space="preserve">zvyšuje schopnost vlády pružně a operativně </w:t>
      </w:r>
      <w:r w:rsidR="00177E3B" w:rsidRPr="00972808">
        <w:t>přesouvat</w:t>
      </w:r>
      <w:r w:rsidR="004F1959" w:rsidRPr="00972808">
        <w:t xml:space="preserve"> výdaje</w:t>
      </w:r>
      <w:r w:rsidR="009002B7" w:rsidRPr="00972808">
        <w:t>, ovšem tato možnost se odehrává z větší části na úkor prohloubení deficitu</w:t>
      </w:r>
      <w:r w:rsidR="004F1959" w:rsidRPr="00972808">
        <w:t>.</w:t>
      </w:r>
      <w:r w:rsidR="009002B7" w:rsidRPr="00972808">
        <w:t xml:space="preserve"> </w:t>
      </w:r>
    </w:p>
    <w:p w14:paraId="6B9282BF" w14:textId="19271982" w:rsidR="004F1959" w:rsidRPr="00972808" w:rsidRDefault="004F1959" w:rsidP="004F1959">
      <w:pPr>
        <w:pStyle w:val="SRTextnomal"/>
      </w:pPr>
      <w:r w:rsidRPr="00972808">
        <w:t xml:space="preserve">Celkové mandatorní výdaje dosáhnou v roce 2027 výše 2 018,3 mld. Kč. Jejich podíl na celkových výdajích státního rozpočtu (s vyloučením vlivu EU/FM a účetních operací v rámci PRV) se očekává ve výši 81,7 %. V porovnání se schváleným rozpočtem roku 2026 dochází ke snížení tohoto podílu o 1,7 p. b. </w:t>
      </w:r>
    </w:p>
    <w:p w14:paraId="6EAED58B" w14:textId="162C5F82" w:rsidR="004F1959" w:rsidRPr="00972808" w:rsidRDefault="004F1959" w:rsidP="004F1959">
      <w:pPr>
        <w:pStyle w:val="SRTextnomal"/>
      </w:pPr>
      <w:r w:rsidRPr="00972808">
        <w:t>Mandatorní výdaje vyplývající ze zákona jsou pro rok 2027 rozpočtovány ve výši 1 545,3 mld. Kč a tvoří 76,6</w:t>
      </w:r>
      <w:r w:rsidR="00F91170" w:rsidRPr="00972808">
        <w:t> </w:t>
      </w:r>
      <w:r w:rsidRPr="00972808">
        <w:t>% celkových mandatorních výdajů. Pokud toto číslo posuzujeme ve vztahu k celkovým výdajům státního rozpočtu, dostaneme podíl ve výši</w:t>
      </w:r>
      <w:r w:rsidR="00385AAF" w:rsidRPr="00972808">
        <w:t xml:space="preserve"> 62,6</w:t>
      </w:r>
      <w:r w:rsidRPr="00972808">
        <w:t> %.</w:t>
      </w:r>
    </w:p>
    <w:p w14:paraId="44431A20" w14:textId="4754531A" w:rsidR="004F1959" w:rsidRPr="00972808" w:rsidRDefault="004F1959" w:rsidP="004F1959">
      <w:pPr>
        <w:pStyle w:val="SRTextnomal"/>
      </w:pPr>
      <w:r w:rsidRPr="00972808">
        <w:t>Zbývající část představují ostatní mandatorní a quasi mandatorní výdaje, které pro rok 2027 činí</w:t>
      </w:r>
      <w:r w:rsidR="00385AAF" w:rsidRPr="00972808">
        <w:t xml:space="preserve"> 472,9</w:t>
      </w:r>
      <w:r w:rsidRPr="00972808">
        <w:t> mld.</w:t>
      </w:r>
      <w:r w:rsidR="00385AAF" w:rsidRPr="00972808">
        <w:t> </w:t>
      </w:r>
      <w:r w:rsidRPr="00972808">
        <w:t xml:space="preserve">Kč, přičemž největší objem z této částky připadá na platy organizačních složek státu a </w:t>
      </w:r>
      <w:r w:rsidR="00385AAF" w:rsidRPr="00972808">
        <w:t xml:space="preserve">státních </w:t>
      </w:r>
      <w:r w:rsidRPr="00972808">
        <w:t>příspěvkových organizací vč.</w:t>
      </w:r>
      <w:r w:rsidR="00385AAF" w:rsidRPr="00972808">
        <w:t> </w:t>
      </w:r>
      <w:r w:rsidRPr="00972808">
        <w:t xml:space="preserve">příslušenství. Podíl ostatních mandatorních a quasi mandatorních výdajů na celkových výdajích státního rozpočtu se v roce 2027 předpokládá ve výši </w:t>
      </w:r>
      <w:r w:rsidR="00385AAF" w:rsidRPr="00972808">
        <w:t>19,1 </w:t>
      </w:r>
      <w:r w:rsidRPr="00972808">
        <w:t>%.</w:t>
      </w:r>
    </w:p>
    <w:p w14:paraId="6CA197C0" w14:textId="63304765" w:rsidR="008E2F3F" w:rsidRPr="00972808" w:rsidRDefault="008E2F3F" w:rsidP="000D440D">
      <w:pPr>
        <w:pStyle w:val="SRTitulek1"/>
      </w:pPr>
      <w:bookmarkStart w:id="121" w:name="_Toc239067880"/>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11</w:t>
      </w:r>
      <w:r w:rsidR="00391DA8" w:rsidRPr="00972808">
        <w:rPr>
          <w:noProof/>
        </w:rPr>
        <w:fldChar w:fldCharType="end"/>
      </w:r>
      <w:r w:rsidRPr="00972808">
        <w:t xml:space="preserve"> </w:t>
      </w:r>
      <w:r w:rsidR="00F24350" w:rsidRPr="00972808">
        <w:t xml:space="preserve">Přehled mandatorních výdajů a jejich podílů </w:t>
      </w:r>
      <w:r w:rsidR="00AF4A40" w:rsidRPr="00972808">
        <w:t>–</w:t>
      </w:r>
      <w:r w:rsidR="00F8617B" w:rsidRPr="00972808">
        <w:t xml:space="preserve"> bez prostředků </w:t>
      </w:r>
      <w:r w:rsidR="00FF1BAA" w:rsidRPr="00972808">
        <w:t>EU/FM a úč. </w:t>
      </w:r>
      <w:r w:rsidR="00E52394" w:rsidRPr="00972808">
        <w:t>oper. PRV</w:t>
      </w:r>
      <w:bookmarkEnd w:id="121"/>
      <w:r w:rsidRPr="00972808">
        <w:t xml:space="preserve"> </w:t>
      </w:r>
      <w:bookmarkEnd w:id="120"/>
    </w:p>
    <w:p w14:paraId="584F455A" w14:textId="71D50DE5" w:rsidR="009E08ED" w:rsidRPr="00972808" w:rsidRDefault="0011557D" w:rsidP="008A4A1A">
      <w:r w:rsidRPr="00972808">
        <w:rPr>
          <w:noProof/>
        </w:rPr>
        <w:drawing>
          <wp:inline distT="0" distB="0" distL="0" distR="0" wp14:anchorId="14D88AD0" wp14:editId="1A90D7D7">
            <wp:extent cx="6086902" cy="2017810"/>
            <wp:effectExtent l="0" t="0" r="0" b="190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88154" cy="2018225"/>
                    </a:xfrm>
                    <a:prstGeom prst="rect">
                      <a:avLst/>
                    </a:prstGeom>
                    <a:noFill/>
                    <a:ln>
                      <a:noFill/>
                    </a:ln>
                  </pic:spPr>
                </pic:pic>
              </a:graphicData>
            </a:graphic>
          </wp:inline>
        </w:drawing>
      </w:r>
    </w:p>
    <w:p w14:paraId="665954BE" w14:textId="5CDFA614" w:rsidR="0011557D" w:rsidRPr="00972808" w:rsidRDefault="0011557D" w:rsidP="0011557D">
      <w:pPr>
        <w:pStyle w:val="SRTitulek1"/>
        <w:rPr>
          <w:i/>
        </w:rPr>
      </w:pPr>
      <w:bookmarkStart w:id="122" w:name="_Toc239067922"/>
      <w:r w:rsidRPr="00972808">
        <w:t xml:space="preserve">Graf </w:t>
      </w:r>
      <w:r w:rsidRPr="00972808">
        <w:fldChar w:fldCharType="begin"/>
      </w:r>
      <w:r w:rsidRPr="00972808">
        <w:instrText xml:space="preserve"> SEQ Graf \* ARABIC </w:instrText>
      </w:r>
      <w:r w:rsidRPr="00972808">
        <w:fldChar w:fldCharType="separate"/>
      </w:r>
      <w:r w:rsidR="00344480">
        <w:rPr>
          <w:noProof/>
        </w:rPr>
        <w:t>13</w:t>
      </w:r>
      <w:r w:rsidRPr="00972808">
        <w:rPr>
          <w:noProof/>
        </w:rPr>
        <w:fldChar w:fldCharType="end"/>
      </w:r>
      <w:r w:rsidRPr="00972808">
        <w:t xml:space="preserve"> Vývoj podílu mandatorních výdajů </w:t>
      </w:r>
      <w:r w:rsidRPr="00972808">
        <w:rPr>
          <w:u w:val="single"/>
        </w:rPr>
        <w:t>na celkových příjmech</w:t>
      </w:r>
      <w:r w:rsidRPr="00972808">
        <w:t xml:space="preserve"> státního rozpočtu bez EU/FM/PRV </w:t>
      </w:r>
      <w:r w:rsidRPr="00972808">
        <w:rPr>
          <w:i/>
        </w:rPr>
        <w:t>(v %)</w:t>
      </w:r>
      <w:bookmarkEnd w:id="122"/>
    </w:p>
    <w:p w14:paraId="0C14F9B5" w14:textId="77777777" w:rsidR="0011557D" w:rsidRPr="00972808" w:rsidRDefault="0011557D" w:rsidP="0011557D">
      <w:pPr>
        <w:jc w:val="left"/>
      </w:pPr>
      <w:r w:rsidRPr="00972808">
        <w:rPr>
          <w:noProof/>
        </w:rPr>
        <w:drawing>
          <wp:inline distT="0" distB="0" distL="0" distR="0" wp14:anchorId="4C36C434" wp14:editId="366217D0">
            <wp:extent cx="6095711" cy="3275774"/>
            <wp:effectExtent l="0" t="0" r="635" b="1270"/>
            <wp:docPr id="209" name="Obráze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7973" cy="3293111"/>
                    </a:xfrm>
                    <a:prstGeom prst="rect">
                      <a:avLst/>
                    </a:prstGeom>
                    <a:noFill/>
                  </pic:spPr>
                </pic:pic>
              </a:graphicData>
            </a:graphic>
          </wp:inline>
        </w:drawing>
      </w:r>
    </w:p>
    <w:p w14:paraId="1BBC51D3" w14:textId="77777777" w:rsidR="0011557D" w:rsidRPr="00972808" w:rsidRDefault="0011557D" w:rsidP="0011557D">
      <w:pPr>
        <w:pStyle w:val="SRPoznmkaazdroj"/>
      </w:pPr>
      <w:r w:rsidRPr="00972808">
        <w:t>Pozn.: Rozdíly v součtech podílů – vliv zaokrouhlení.</w:t>
      </w:r>
    </w:p>
    <w:p w14:paraId="229BC08E" w14:textId="26EB881E" w:rsidR="0011557D" w:rsidRPr="00972808" w:rsidRDefault="00DA5AEB" w:rsidP="0011557D">
      <w:pPr>
        <w:pStyle w:val="SRTextnomal"/>
      </w:pPr>
      <w:r w:rsidRPr="00972808">
        <w:t>Výš</w:t>
      </w:r>
      <w:r w:rsidR="0011557D" w:rsidRPr="00972808">
        <w:t>e uvedený graf zobrazuje podíly předurčených výdajů na celkových příjmech státního rozpočtu bez zdrojů z EU/FM a úč. operací v rámci PRV. Překročí-li hodnota u celkových mandatorních výdajů 100 %, znamená to, že nelze ze zdrojů, které do státního rozpočtu plynou, uhradit ani povinné výdaje. Tato mez byla překonána v roce 2021, což souviselo s bezprecedentním výpadkem příjmů v důsledku pandemie vyvolané Covidem-19. Výkyvy v letech 2022-2025 jsou dány důsledky vypuknutí konfliktu na Ukrajině a následnou energetickou krizí, která se v příjmech zohlednila daní z neočekávaných zisků. Tento efekt se již rokem 2026 vyčerpal.</w:t>
      </w:r>
    </w:p>
    <w:p w14:paraId="1949D92F" w14:textId="77777777" w:rsidR="0011557D" w:rsidRPr="00972808" w:rsidRDefault="0011557D" w:rsidP="008A4A1A"/>
    <w:p w14:paraId="15B715B7" w14:textId="0DA8872A" w:rsidR="00C30873" w:rsidRPr="00972808" w:rsidRDefault="00C30873" w:rsidP="000D440D">
      <w:pPr>
        <w:pStyle w:val="SRTitulek1"/>
        <w:rPr>
          <w:i/>
        </w:rPr>
      </w:pPr>
      <w:bookmarkStart w:id="123" w:name="_Toc239067923"/>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14</w:t>
      </w:r>
      <w:r w:rsidR="00391DA8" w:rsidRPr="00972808">
        <w:rPr>
          <w:noProof/>
        </w:rPr>
        <w:fldChar w:fldCharType="end"/>
      </w:r>
      <w:r w:rsidRPr="00972808">
        <w:t xml:space="preserve"> Vývoj </w:t>
      </w:r>
      <w:r w:rsidR="00FD7D80" w:rsidRPr="00972808">
        <w:t xml:space="preserve">podílu </w:t>
      </w:r>
      <w:r w:rsidR="008E2F3F" w:rsidRPr="00972808">
        <w:t xml:space="preserve">mandatorních výdajů </w:t>
      </w:r>
      <w:r w:rsidR="008E2F3F" w:rsidRPr="00972808">
        <w:rPr>
          <w:u w:val="single"/>
        </w:rPr>
        <w:t>na celkových výdajích</w:t>
      </w:r>
      <w:r w:rsidR="008E2F3F" w:rsidRPr="00972808">
        <w:t xml:space="preserve"> státního rozpočtu</w:t>
      </w:r>
      <w:r w:rsidR="007E7877" w:rsidRPr="00972808">
        <w:t xml:space="preserve"> bez EU/FM a úč. oper. PRV</w:t>
      </w:r>
      <w:r w:rsidR="008E2F3F" w:rsidRPr="00972808">
        <w:t xml:space="preserve"> </w:t>
      </w:r>
      <w:r w:rsidR="00FD7D80" w:rsidRPr="00972808">
        <w:rPr>
          <w:i/>
        </w:rPr>
        <w:t>(v %)</w:t>
      </w:r>
      <w:bookmarkEnd w:id="123"/>
    </w:p>
    <w:p w14:paraId="2BC8DACF" w14:textId="1983382A" w:rsidR="002E5540" w:rsidRPr="00972808" w:rsidRDefault="00EB0DF1" w:rsidP="006227A2">
      <w:pPr>
        <w:pStyle w:val="SRTextnomal"/>
      </w:pPr>
      <w:r w:rsidRPr="00972808">
        <w:rPr>
          <w:noProof/>
        </w:rPr>
        <w:drawing>
          <wp:inline distT="0" distB="0" distL="0" distR="0" wp14:anchorId="6077A414" wp14:editId="248C533D">
            <wp:extent cx="6127828" cy="3019880"/>
            <wp:effectExtent l="0" t="0" r="6350" b="9525"/>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68531" cy="3039939"/>
                    </a:xfrm>
                    <a:prstGeom prst="rect">
                      <a:avLst/>
                    </a:prstGeom>
                    <a:noFill/>
                  </pic:spPr>
                </pic:pic>
              </a:graphicData>
            </a:graphic>
          </wp:inline>
        </w:drawing>
      </w:r>
    </w:p>
    <w:p w14:paraId="0F47EBD8" w14:textId="3CC55B95" w:rsidR="009E08ED" w:rsidRPr="00972808" w:rsidRDefault="00053C92" w:rsidP="009E08ED">
      <w:pPr>
        <w:pStyle w:val="SRTextnomal"/>
      </w:pPr>
      <w:r w:rsidRPr="00972808">
        <w:t>Výrazná změna</w:t>
      </w:r>
      <w:r w:rsidR="00DE47DD" w:rsidRPr="00972808">
        <w:t xml:space="preserve"> </w:t>
      </w:r>
      <w:r w:rsidRPr="00972808">
        <w:t>podílů mandatorních výdajů vyplývajících ze zákona a quasi mandatorních výdajů mezi roky 2023 a 2024 byla způsobena zejména tím, že meziročně došlo k přesunu zatřídění výdajů kapitoly Ministerstvo obrany ze souboru sledovaného jako quasi mandatorní do souboru mandatorních výdajů vyplývajících ze zákona. Tento přesun se realizoval v návaznosti na zákonné ukotvení povinnosti rozpočtovat výdaje na obranu státu v minimální výši 2 % HDP (podrobněji k obranným výdajům viz kapitola</w:t>
      </w:r>
      <w:r w:rsidR="004C3FF3" w:rsidRPr="00972808">
        <w:t xml:space="preserve"> </w:t>
      </w:r>
      <w:r w:rsidR="004C3FF3" w:rsidRPr="00972808">
        <w:fldChar w:fldCharType="begin"/>
      </w:r>
      <w:r w:rsidR="004C3FF3" w:rsidRPr="00972808">
        <w:instrText xml:space="preserve"> REF _Ref207116811 \r \h  \* MERGEFORMAT </w:instrText>
      </w:r>
      <w:r w:rsidR="004C3FF3" w:rsidRPr="00972808">
        <w:fldChar w:fldCharType="separate"/>
      </w:r>
      <w:r w:rsidR="00344480">
        <w:t>4.12</w:t>
      </w:r>
      <w:r w:rsidR="004C3FF3" w:rsidRPr="00972808">
        <w:fldChar w:fldCharType="end"/>
      </w:r>
      <w:r w:rsidRPr="00972808">
        <w:t>).</w:t>
      </w:r>
      <w:r w:rsidR="00135E72" w:rsidRPr="00972808">
        <w:t xml:space="preserve"> Výdaje na obranu státu </w:t>
      </w:r>
      <w:r w:rsidR="00F91170" w:rsidRPr="00972808">
        <w:t xml:space="preserve">podle závazného průřezového ukazatele </w:t>
      </w:r>
      <w:r w:rsidR="00135E72" w:rsidRPr="00972808">
        <w:t>jsou jako celek sledovány v rámci skupiny zákonných mandatorních výdajů.</w:t>
      </w:r>
      <w:r w:rsidR="00F91170" w:rsidRPr="00972808">
        <w:t xml:space="preserve"> Od roku 202</w:t>
      </w:r>
      <w:r w:rsidR="000F33DE" w:rsidRPr="00972808">
        <w:t>5</w:t>
      </w:r>
      <w:r w:rsidR="00F91170" w:rsidRPr="00972808">
        <w:t xml:space="preserve"> je možno sledovat klesající trend podílu celkových mandatorních výdajů na celkových výdajích státního rozpočtu.</w:t>
      </w:r>
    </w:p>
    <w:p w14:paraId="0710E356" w14:textId="2F5363D7" w:rsidR="00F70E6C" w:rsidRPr="00972808" w:rsidRDefault="003F6561" w:rsidP="00D06E57">
      <w:pPr>
        <w:pStyle w:val="SRNadpis2"/>
      </w:pPr>
      <w:bookmarkStart w:id="124" w:name="_Toc52369869"/>
      <w:bookmarkStart w:id="125" w:name="_Ref207187100"/>
      <w:bookmarkStart w:id="126" w:name="_Hlk220841584"/>
      <w:bookmarkStart w:id="127" w:name="_Hlk220397209"/>
      <w:bookmarkStart w:id="128" w:name="_Toc239067835"/>
      <w:r w:rsidRPr="00972808">
        <w:t>Výdaje na sociální transfery a státní politiku zaměstnanosti</w:t>
      </w:r>
      <w:bookmarkEnd w:id="124"/>
      <w:bookmarkEnd w:id="125"/>
      <w:bookmarkEnd w:id="128"/>
    </w:p>
    <w:p w14:paraId="2DEE05ED" w14:textId="77777777" w:rsidR="00F70E6C" w:rsidRPr="00972808" w:rsidRDefault="00F70E6C" w:rsidP="00F70E6C">
      <w:pPr>
        <w:sectPr w:rsidR="00F70E6C" w:rsidRPr="00972808" w:rsidSect="009E08ED">
          <w:footerReference w:type="even" r:id="rId45"/>
          <w:type w:val="continuous"/>
          <w:pgSz w:w="11906" w:h="16838" w:code="9"/>
          <w:pgMar w:top="1134" w:right="1134" w:bottom="1134" w:left="1134" w:header="709" w:footer="709" w:gutter="0"/>
          <w:cols w:space="397"/>
          <w:docGrid w:linePitch="360"/>
        </w:sectPr>
      </w:pPr>
    </w:p>
    <w:p w14:paraId="6F58D1AC" w14:textId="77777777" w:rsidR="006D10FB" w:rsidRPr="00972808" w:rsidRDefault="006D10FB" w:rsidP="006D10FB">
      <w:pPr>
        <w:pStyle w:val="SRTextnomal"/>
      </w:pPr>
      <w:r w:rsidRPr="00972808">
        <w:t>Rozpočet výdajů na dlouhodobě srovnatelný soubor sociálních dávek a různých zákonem upravených sociálních příspěvků (včetně výdajů na aktivní politiku zaměstnanosti) pro rok 2027 byl zpracován podle aktuálního vývoje příslušných rozpočtových položek a jejich očekávané skutečnosti v roce 2026, dále s využitím makroekonomických predikcí, zejména ve vazbě na vývoj průměrné mzdy, inflace a míry nezaměstnanosti.</w:t>
      </w:r>
    </w:p>
    <w:p w14:paraId="3D70AAB2" w14:textId="77777777" w:rsidR="006D10FB" w:rsidRPr="00972808" w:rsidRDefault="006D10FB" w:rsidP="006D10FB">
      <w:pPr>
        <w:pStyle w:val="SRTextnomal"/>
      </w:pPr>
      <w:r w:rsidRPr="00972808">
        <w:t>V roce 2026 i nadále představovala významný prvek v oblasti sociálních výdajů válka na Ukrajině a související opatření na podporu uprchlíků z Ukrajiny spočívající především v poskytování mimořádných dávek majících za cíl zajištění základních životních potřeb dotyčných osob.</w:t>
      </w:r>
    </w:p>
    <w:p w14:paraId="26514835" w14:textId="3F20328A" w:rsidR="006D10FB" w:rsidRPr="00972808" w:rsidRDefault="006D10FB" w:rsidP="006D10FB">
      <w:pPr>
        <w:pStyle w:val="SRTextnomal"/>
      </w:pPr>
      <w:r w:rsidRPr="00972808">
        <w:t xml:space="preserve">Rozpočet sociálních výdajů a výdajů na služby zaměstnanosti ve výši 1 175,2 mld. Kč je o 43,2 mld. Kč vyšší oproti schválenému rozpočtu pro rok 2026, tj. o 3,8 %. Nejvyšší meziroční přírůstek výdajů oproti schválenému rozpočtu roku 2026 je v oblasti dávek důchodového pojištění, a to o 19,2 mld. Kč, což představuje nárůst o 2,6 %. Dále se jedná o nárůst plateb do veřejného zdravotního pojištění, a to o 18 mld. Kč oproti schválenému rozpočtu 2026. Celkové sociální výdaje a výdaje na služby zaměstnanosti představují téměř polovinu výdajů státního rozpočtu (bez prostředků EU a FM), tvoří 47,6 %. Strukturu výdajů podle hlavních položek ukazuje </w:t>
      </w:r>
      <w:r w:rsidRPr="00972808">
        <w:fldChar w:fldCharType="begin"/>
      </w:r>
      <w:r w:rsidRPr="00972808">
        <w:instrText xml:space="preserve"> REF _Ref209962870 \h  \* MERGEFORMAT </w:instrText>
      </w:r>
      <w:r w:rsidRPr="00972808">
        <w:fldChar w:fldCharType="separate"/>
      </w:r>
      <w:r w:rsidR="00344480" w:rsidRPr="00972808">
        <w:t xml:space="preserve">Tabulka </w:t>
      </w:r>
      <w:r w:rsidR="00344480">
        <w:rPr>
          <w:noProof/>
        </w:rPr>
        <w:t>12</w:t>
      </w:r>
      <w:r w:rsidRPr="00972808">
        <w:fldChar w:fldCharType="end"/>
      </w:r>
      <w:r w:rsidRPr="00972808">
        <w:t>.</w:t>
      </w:r>
    </w:p>
    <w:p w14:paraId="174BCF0E" w14:textId="77777777" w:rsidR="006D10FB" w:rsidRPr="00972808" w:rsidRDefault="006D10FB" w:rsidP="006D10FB">
      <w:pPr>
        <w:pStyle w:val="SRTextnomal"/>
      </w:pPr>
      <w:r w:rsidRPr="00972808">
        <w:t>Vývoj sociálních výdajů je ovlivněn jak autonomním vývojem, tak schválenými systémovými změnami sociální legislativy v uplynulém období a legislativními změnami, které nabývají účinnosti v průběhu roku 2026 a 2027. Jedná se především o tyto legislativní změny:</w:t>
      </w:r>
    </w:p>
    <w:p w14:paraId="52530F98" w14:textId="77777777" w:rsidR="006D10FB" w:rsidRPr="00972808" w:rsidRDefault="006D10FB" w:rsidP="00344F6B">
      <w:pPr>
        <w:pStyle w:val="SROdrka1"/>
      </w:pPr>
      <w:r w:rsidRPr="00972808">
        <w:t>Zákon č. 151/2025 Sb., o dávce státní sociální pomoci;</w:t>
      </w:r>
    </w:p>
    <w:p w14:paraId="578A2D4F" w14:textId="77777777" w:rsidR="006D10FB" w:rsidRPr="00972808" w:rsidRDefault="006D10FB" w:rsidP="00344F6B">
      <w:pPr>
        <w:pStyle w:val="SROdrka1"/>
        <w:rPr>
          <w:strike/>
        </w:rPr>
      </w:pPr>
      <w:r w:rsidRPr="00972808">
        <w:t>Novela zákona č.  247/2014 Sb., o poskytování služby péče o dítě v dětské skupině a o změně souvisejících zákonů;</w:t>
      </w:r>
    </w:p>
    <w:p w14:paraId="6AF90989" w14:textId="77777777" w:rsidR="006D10FB" w:rsidRPr="00972808" w:rsidRDefault="006D10FB" w:rsidP="00344F6B">
      <w:pPr>
        <w:pStyle w:val="SROdrka1"/>
      </w:pPr>
      <w:r w:rsidRPr="00972808">
        <w:t>Novela zákona č. 435/2004 Sb., o zaměstnanosti;</w:t>
      </w:r>
    </w:p>
    <w:p w14:paraId="6EEFC4CD" w14:textId="77777777" w:rsidR="006D10FB" w:rsidRPr="00972808" w:rsidRDefault="006D10FB" w:rsidP="00344F6B">
      <w:pPr>
        <w:pStyle w:val="SROdrka1"/>
      </w:pPr>
      <w:r w:rsidRPr="00972808">
        <w:t>Novela zákona č. 588/2020 Sb., o náhradním výživném pro nezaopatřené dítě a o změně některých souvisejících zákonů;</w:t>
      </w:r>
    </w:p>
    <w:p w14:paraId="7F5DEC5F" w14:textId="77777777" w:rsidR="006D10FB" w:rsidRPr="00972808" w:rsidRDefault="006D10FB" w:rsidP="00344F6B">
      <w:pPr>
        <w:pStyle w:val="SROdrka1"/>
      </w:pPr>
      <w:r w:rsidRPr="00972808">
        <w:t xml:space="preserve">Novela zákona č. 110/2006 Sb., o životním a existenčním minimu; </w:t>
      </w:r>
    </w:p>
    <w:p w14:paraId="5141FB1C" w14:textId="77777777" w:rsidR="006D10FB" w:rsidRPr="00972808" w:rsidRDefault="006D10FB" w:rsidP="00344F6B">
      <w:pPr>
        <w:pStyle w:val="SROdrka1"/>
      </w:pPr>
      <w:r w:rsidRPr="00972808">
        <w:lastRenderedPageBreak/>
        <w:t>Nařízení vlády č. 471/2024 Sb., o nejvyšší částce příspěvku na podporu zaměstnávání osob se zdravotním postižením na chráněném trhu práce.</w:t>
      </w:r>
    </w:p>
    <w:p w14:paraId="6B4B5216" w14:textId="05CB513A" w:rsidR="006D10FB" w:rsidRPr="00972808" w:rsidRDefault="006D10FB" w:rsidP="006D10FB">
      <w:pPr>
        <w:pStyle w:val="SRTextnomal"/>
      </w:pPr>
      <w:r w:rsidRPr="00972808">
        <w:t>Z výdajů na sociální dávky pro rok 2027 tvoří nejvyšší položku výdaje na důchodové pojištění, a to 758,8 mld. Kč, což je 78 % z výdajů na sociální dávky. Oproti schválenému rozpočtu 2026 se výdaje na důchody zvyšují o 19,2 mld. Kč. Mělo by dojít k tzv. věkové valorizaci, tedy pravidelnému zvyšování důchodů každých 5 let od věku 80 let, a také ke zvyšování starobního důchodu u pracujících důchod</w:t>
      </w:r>
      <w:r w:rsidR="000F33DE" w:rsidRPr="00972808">
        <w:t>c</w:t>
      </w:r>
      <w:r w:rsidRPr="00972808">
        <w:t>ů. Ministerstvem práce a sociálních věcí je zákonná valorizace důchodů od 1. 1. 2027 u průměrného důchodu odhadována ve výši 300 Kč, což vede ke zvýšení průměrného starobního důchodu o 1,4 %. Průměrný starobní důchod by měl po 1. lednu 2027 činit zhruba 22 192 Kč.</w:t>
      </w:r>
    </w:p>
    <w:p w14:paraId="43990BEE" w14:textId="77777777" w:rsidR="006D10FB" w:rsidRPr="00972808" w:rsidRDefault="006D10FB" w:rsidP="006D10FB">
      <w:pPr>
        <w:pStyle w:val="SRTextnomal"/>
      </w:pPr>
      <w:r w:rsidRPr="00972808">
        <w:t xml:space="preserve">Podle zákona o důchodovém pojištění se důchody zvyšují v pravidelném termínu každoročně od ledna. Valorizace se určuje podle údajů Českého statistického úřadu. U průměrného starobního důchodu zvýšení činí částku odpovídající 100 % růstu indexu životních nákladů důchodců a dále též částku odpovídající jedné třetině růstu reálných mezd. </w:t>
      </w:r>
    </w:p>
    <w:p w14:paraId="616B7FB4" w14:textId="77777777" w:rsidR="006D10FB" w:rsidRPr="00972808" w:rsidRDefault="006D10FB" w:rsidP="006D10FB">
      <w:pPr>
        <w:pStyle w:val="SRTextnomal"/>
      </w:pPr>
      <w:r w:rsidRPr="00972808">
        <w:t>Další významnou položkou v sociálních výdajích jsou dávky nemocenského pojištění, které jsou pro rok 2027 rozpočtovány ve výši 54,4 mld. Kč, výše dávky je ovlivněna vývojem počtu nově narozených dětí, dětí do věku 10 let a vývojem úrovně vyplácených mezd a platů.</w:t>
      </w:r>
    </w:p>
    <w:p w14:paraId="740EF8D9" w14:textId="77777777" w:rsidR="006D10FB" w:rsidRPr="00972808" w:rsidRDefault="006D10FB" w:rsidP="006D10FB">
      <w:pPr>
        <w:pStyle w:val="SRTextnomal"/>
      </w:pPr>
      <w:r w:rsidRPr="00972808">
        <w:t>Státní politika zaměstnanosti v sobě zahrnuje výdaje na pasivní politiku zaměstnanosti, což jsou podpory v nezaměstnanosti, a výdaje na aktivní politiku zaměstnanosti.</w:t>
      </w:r>
    </w:p>
    <w:p w14:paraId="7D6DA293" w14:textId="77777777" w:rsidR="006D10FB" w:rsidRPr="00972808" w:rsidRDefault="006D10FB" w:rsidP="006D10FB">
      <w:pPr>
        <w:pStyle w:val="SRTextnomal"/>
      </w:pPr>
      <w:r w:rsidRPr="00972808">
        <w:t>Výdaje na podpory v nezaměstnanosti jsou na základě předpokládaného vývoje zapracovány v částce 18,2 mld. Kč.</w:t>
      </w:r>
    </w:p>
    <w:p w14:paraId="7202EA72" w14:textId="77777777" w:rsidR="006D10FB" w:rsidRPr="00972808" w:rsidRDefault="006D10FB" w:rsidP="006D10FB">
      <w:pPr>
        <w:pStyle w:val="SRTextnomal"/>
      </w:pPr>
      <w:r w:rsidRPr="00972808">
        <w:t xml:space="preserve">Výdaje na aktivní politiku zaměstnanosti (bez prostředků EU a FM) jsou schváleny ve výši 0,5 mld. Kč, v této částce jsou zahrnuty prostředky např. na rekvalifikace, na veřejně prospěšné práce, na společensky účelná pracovní místa, na podporu zaměstnanosti zdravotně postižených občanů, na investiční pobídky a na cílené programy k řešení zaměstnanosti. </w:t>
      </w:r>
    </w:p>
    <w:p w14:paraId="74E8F9CB" w14:textId="77777777" w:rsidR="006D10FB" w:rsidRPr="00972808" w:rsidRDefault="006D10FB" w:rsidP="006D10FB">
      <w:pPr>
        <w:pStyle w:val="SRTextnomal"/>
      </w:pPr>
      <w:r w:rsidRPr="00972808">
        <w:t>Mezi nepojistné sociální dávkové systémy patří dávky státní sociální podpory a dávky pěstounské péče, dávky pomoci v hmotné nouzi, dávky pro osoby se zdravotním postižením, náhradní výživné pro nezaopatřené děti, příspěvek na péči, který je vyplácen podle zákona o sociálních službách a nová dávka státní sociální pomoci. Výplatu všech těchto dávek zajišťuje Úřad práce České republiky a jeho organizační složky.</w:t>
      </w:r>
    </w:p>
    <w:p w14:paraId="28C3CD9E" w14:textId="6C81AA57" w:rsidR="006D10FB" w:rsidRPr="00972808" w:rsidRDefault="006D10FB" w:rsidP="006D10FB">
      <w:pPr>
        <w:pStyle w:val="SRTextnomal"/>
        <w:keepLines/>
      </w:pPr>
      <w:r w:rsidRPr="00972808">
        <w:t>Na dávky státní sociální podpory a pěstounské péče je vyčleněna v roce 2027 celková částka ve výši 37 mld. Kč. Snížení oproti roku 2026 je spojeno se vznikem nové dávky státní sociální pomoci, do které postupně přecházejí z dávek státní sociální podpory dosavadní dávky přídavek na dítě a příspěvek na bydlení. Přímý dopad na tuto dávku má i zvýšení částek životního a existenčního minima, které bylo schváleno v rámci zákona č. 152/2025 Sb., kterým se mění některé zákony v souvislosti s přijetím zákona o dávce státní sociální pomoci. V souvislosti s tím lze očekávat nárůst uvedených dávek. Zároveň tímto zákonem byla zavedena nová dávka na podporu pro studující rodiče.</w:t>
      </w:r>
    </w:p>
    <w:p w14:paraId="7AB3FD63" w14:textId="77777777" w:rsidR="006D10FB" w:rsidRPr="00972808" w:rsidRDefault="006D10FB" w:rsidP="006D10FB">
      <w:pPr>
        <w:pStyle w:val="SRTextnomal"/>
      </w:pPr>
      <w:r w:rsidRPr="00972808">
        <w:t>Výdaje na dávku státní sociální pomoci jsou stanoveny ve výši 29,2 mld. Kč, jedná se o novou dávku (tzv. superdávku), která slučuje dosavadní dávky příspěvek na bydlení, přídavek na dítě, příspěvek na živobytí a doplatek na bydlení do jedné dávky. Zároveň letos došlo k prodloužení přechodného režimu, během něhož byly dávky přídavek na dítě a příspěvek na bydlení nadále vypláceny podle zákona o státní sociální podpoře, a to od října 2025 do července 2026. Od 1. srpna 2026 jsou tyto dávky včetně příspěvku na živobytí a doplatku na bydlení nahrazovány dávkou státní sociální pomoci.</w:t>
      </w:r>
    </w:p>
    <w:p w14:paraId="660CBABF" w14:textId="71E69A44" w:rsidR="006D10FB" w:rsidRPr="00972808" w:rsidRDefault="006D10FB" w:rsidP="006D10FB">
      <w:pPr>
        <w:pStyle w:val="SRTextnomal"/>
      </w:pPr>
      <w:r w:rsidRPr="00972808">
        <w:t>Na dávky pomoci v hmotné nouzi je vyčleněna částka 9,2 mld. Kč. Oproti schválenému rozpočtu 2026 jde o snížení ve výši 0,2 mld. Kč z důvodu přesunu dosavadních dávek doplatku na bydlení a příspěvku na živobytí do nové dávky státní sociální pomoci. V rámci dávek pomoci v hmotné nouzi bude i nadále vyplácena humanitární dávka cizincům s dočasnou ochranou udělenou v ČR v souvislosti s ozbrojeným konfliktem na území Ukrajiny vyvolaný</w:t>
      </w:r>
      <w:r w:rsidR="00ED160D" w:rsidRPr="00972808">
        <w:t>m</w:t>
      </w:r>
      <w:r w:rsidRPr="00972808">
        <w:t xml:space="preserve"> invazí vojsk Ruské federace.</w:t>
      </w:r>
    </w:p>
    <w:p w14:paraId="11650DED" w14:textId="432132D6" w:rsidR="006D10FB" w:rsidRPr="00972808" w:rsidRDefault="006D10FB" w:rsidP="006D10FB">
      <w:pPr>
        <w:pStyle w:val="SRTextnomal"/>
      </w:pPr>
      <w:bookmarkStart w:id="129" w:name="_Hlk220913113"/>
      <w:r w:rsidRPr="00972808">
        <w:t>Výdaje na příspěvek na péči jsou schváleny ve výši 49,5 mld. Kč. Od 1. ledna 2026 došlo k navýšení příspěvku na péči v I. a II. stupni závislosti jak u osob do 18 let věku, tak i u osob nad 18 let. Uvedená úprava zvýší výdaje státního rozpočtu přibližně o 2,0 mld. Kč. Nárůst oproti schválenému rozpočtu roku 2026 v sobě zahrnuje kromě navýšení výše příspěvku na péči v I. a II. stupni i meziroční nárůst ovlivněný stárnutím populace a každoročním navyšováním počtu příjemců příspěvku.</w:t>
      </w:r>
    </w:p>
    <w:bookmarkEnd w:id="129"/>
    <w:p w14:paraId="6CD3FD16" w14:textId="77777777" w:rsidR="006D10FB" w:rsidRPr="00972808" w:rsidRDefault="006D10FB" w:rsidP="006D10FB">
      <w:pPr>
        <w:pStyle w:val="SRTextnomal"/>
      </w:pPr>
      <w:r w:rsidRPr="00972808">
        <w:t>Výdaje na dávky pro osoby se zdravotním postižením jsou rozpočtovány v částce 4,3 mld. Kč, což by mělo pokrýt zákonné nároky zdravotně postižených, které vyplývají ze zákona č. 329/2011 Sb., o poskytování dávek osobám se zdravotním postižením.</w:t>
      </w:r>
    </w:p>
    <w:p w14:paraId="1BA1137B" w14:textId="77777777" w:rsidR="006D10FB" w:rsidRPr="00972808" w:rsidRDefault="006D10FB" w:rsidP="006D10FB">
      <w:pPr>
        <w:pStyle w:val="SRTextnomal"/>
      </w:pPr>
      <w:r w:rsidRPr="00972808">
        <w:t>Výdaje na náhradní výživné pro nezaopatřené děti jsou rozpočtovány v částce 0,4 mld. Kč, což odpovídá předpokládanému vývoji čerpání a navýšení počtu měsíčních splátek pobírání dávky z 48 měsíců na 72.</w:t>
      </w:r>
    </w:p>
    <w:p w14:paraId="0D750B1C" w14:textId="77777777" w:rsidR="006D10FB" w:rsidRPr="00972808" w:rsidRDefault="006D10FB" w:rsidP="006D10FB">
      <w:pPr>
        <w:pStyle w:val="SRTextnomal"/>
      </w:pPr>
      <w:r w:rsidRPr="00972808">
        <w:t>Výdaje na zvláštní dávky pro ozbrojené složky jsou pro rok 2027 rozpočtovány ve výši 14,8 mld. Kč, což je o 0,5 mld. Kč méně, než byl schválený rozpočet 2026.</w:t>
      </w:r>
    </w:p>
    <w:p w14:paraId="5E37F834" w14:textId="12427EA7" w:rsidR="006D10FB" w:rsidRPr="00972808" w:rsidRDefault="006D10FB" w:rsidP="006D10FB">
      <w:pPr>
        <w:pStyle w:val="SRTextnomal"/>
      </w:pPr>
      <w:r w:rsidRPr="00972808">
        <w:lastRenderedPageBreak/>
        <w:t>Výdaje na platbu pojistného na veřejné zdravotní pojištění ze státního rozpočtu za osoby, za které je plátcem stát, jsou rozpočtovány pro rok 2027 ve výši 175,7 mld. Kč. Navýšení oproti schválenému rozpočtu 2026 činí 18 mld. Kč, tj. 11,4 %.</w:t>
      </w:r>
      <w:r w:rsidR="00DA5AEB" w:rsidRPr="00972808">
        <w:t xml:space="preserve"> Podrobněji viz také kapitola </w:t>
      </w:r>
      <w:r w:rsidR="00DA5AEB" w:rsidRPr="00972808">
        <w:fldChar w:fldCharType="begin"/>
      </w:r>
      <w:r w:rsidR="00DA5AEB" w:rsidRPr="00972808">
        <w:instrText xml:space="preserve"> REF _Ref238986668 \r \h </w:instrText>
      </w:r>
      <w:r w:rsidR="001116E5" w:rsidRPr="00972808">
        <w:instrText xml:space="preserve"> \* MERGEFORMAT </w:instrText>
      </w:r>
      <w:r w:rsidR="00DA5AEB" w:rsidRPr="00972808">
        <w:fldChar w:fldCharType="separate"/>
      </w:r>
      <w:r w:rsidR="00344480">
        <w:t>5.11</w:t>
      </w:r>
      <w:r w:rsidR="00DA5AEB" w:rsidRPr="00972808">
        <w:fldChar w:fldCharType="end"/>
      </w:r>
      <w:r w:rsidR="00DA5AEB" w:rsidRPr="00972808">
        <w:t>.</w:t>
      </w:r>
    </w:p>
    <w:p w14:paraId="2439C439" w14:textId="77777777" w:rsidR="006D10FB" w:rsidRPr="00972808" w:rsidRDefault="006D10FB" w:rsidP="006D10FB">
      <w:pPr>
        <w:pStyle w:val="SRTextnomal"/>
      </w:pPr>
      <w:r w:rsidRPr="00972808">
        <w:t>Součástí výdajů státního rozpočtu jsou i výdaje na dotace na sociální služby, kterými stát přispívá na provoz zařízení sociálních služeb. Jedná se o nenárokový výdaj, který byl poprvé v této podobě poskytnut v roce 2007 v souvislosti s účinností nového zákona o sociálních službách k 1. lednu 2007. Pro rok 2027 jsou peněžní prostředky na dotační řízení Ministerstva práce a sociálních věcí na sociální služby pro kraje, Hlavní město Prahu a pro služby s nadregionální či celostátní působností rozpočtovány ve výši 30,0 mld. Kč. Od roku 2007, kdy byly výdaje na dotace na sociální služby ve výši 7,1 mld. Kč, dochází k jejich postupnému navyšování. Další vývoj výše výdajů na dotace na sociální služby je podmíněn novelou zákona č. 108/2006 Sb., o sociálních službách, kterou připravuje Ministerstvo práce a sociálních věcí.</w:t>
      </w:r>
    </w:p>
    <w:p w14:paraId="7A3353B4" w14:textId="77777777" w:rsidR="00FE3818" w:rsidRPr="00972808" w:rsidRDefault="00FE3818" w:rsidP="001802DB">
      <w:pPr>
        <w:pStyle w:val="SRTextnomal"/>
      </w:pPr>
    </w:p>
    <w:p w14:paraId="56569A14" w14:textId="77777777" w:rsidR="00F70E6C" w:rsidRPr="00972808" w:rsidRDefault="00F70E6C" w:rsidP="00B10007">
      <w:pPr>
        <w:sectPr w:rsidR="00F70E6C" w:rsidRPr="00972808" w:rsidSect="009E08ED">
          <w:type w:val="continuous"/>
          <w:pgSz w:w="11906" w:h="16838" w:code="9"/>
          <w:pgMar w:top="1134" w:right="1134" w:bottom="1134" w:left="1134" w:header="709" w:footer="709" w:gutter="0"/>
          <w:cols w:space="397"/>
          <w:docGrid w:linePitch="360"/>
        </w:sectPr>
      </w:pPr>
    </w:p>
    <w:p w14:paraId="5361CF26" w14:textId="62742F2C" w:rsidR="003F6561" w:rsidRPr="00972808" w:rsidRDefault="00007ACB" w:rsidP="000D440D">
      <w:pPr>
        <w:pStyle w:val="SRTitulek1"/>
      </w:pPr>
      <w:bookmarkStart w:id="130" w:name="_Ref209962870"/>
      <w:bookmarkStart w:id="131" w:name="_Toc80264011"/>
      <w:bookmarkStart w:id="132" w:name="_Toc239067881"/>
      <w:bookmarkEnd w:id="126"/>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12</w:t>
      </w:r>
      <w:r w:rsidR="00391DA8" w:rsidRPr="00972808">
        <w:rPr>
          <w:noProof/>
        </w:rPr>
        <w:fldChar w:fldCharType="end"/>
      </w:r>
      <w:bookmarkEnd w:id="130"/>
      <w:r w:rsidRPr="00972808">
        <w:t xml:space="preserve"> Struktura sociálních výdajů podle jednotlivých výdajových titulů </w:t>
      </w:r>
      <w:r w:rsidRPr="00972808">
        <w:rPr>
          <w:i/>
        </w:rPr>
        <w:t>(v mil. Kč)</w:t>
      </w:r>
      <w:bookmarkEnd w:id="131"/>
      <w:bookmarkEnd w:id="132"/>
    </w:p>
    <w:p w14:paraId="6A54D57F" w14:textId="33DD24C0" w:rsidR="001F3C9A" w:rsidRPr="00972808" w:rsidRDefault="006D10FB" w:rsidP="00FB4692">
      <w:r w:rsidRPr="00972808">
        <w:rPr>
          <w:noProof/>
        </w:rPr>
        <w:drawing>
          <wp:inline distT="0" distB="0" distL="0" distR="0" wp14:anchorId="5D3219B4" wp14:editId="1FC6D3F5">
            <wp:extent cx="9251950" cy="4900295"/>
            <wp:effectExtent l="0" t="0" r="635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251950" cy="4900295"/>
                    </a:xfrm>
                    <a:prstGeom prst="rect">
                      <a:avLst/>
                    </a:prstGeom>
                    <a:noFill/>
                    <a:ln>
                      <a:noFill/>
                    </a:ln>
                  </pic:spPr>
                </pic:pic>
              </a:graphicData>
            </a:graphic>
          </wp:inline>
        </w:drawing>
      </w:r>
    </w:p>
    <w:bookmarkEnd w:id="127"/>
    <w:p w14:paraId="3B1D3614" w14:textId="77777777" w:rsidR="00D72096" w:rsidRPr="00972808" w:rsidRDefault="00D72096" w:rsidP="00FB4692"/>
    <w:p w14:paraId="6AB06AAA" w14:textId="77777777" w:rsidR="00FB4692" w:rsidRPr="00972808" w:rsidRDefault="00FB4692" w:rsidP="00FB4692">
      <w:pPr>
        <w:sectPr w:rsidR="00FB4692" w:rsidRPr="00972808" w:rsidSect="009E08ED">
          <w:footerReference w:type="default" r:id="rId47"/>
          <w:type w:val="continuous"/>
          <w:pgSz w:w="16838" w:h="11906" w:orient="landscape" w:code="9"/>
          <w:pgMar w:top="1134" w:right="1134" w:bottom="1134" w:left="1134" w:header="709" w:footer="709" w:gutter="0"/>
          <w:cols w:space="397"/>
          <w:docGrid w:linePitch="360"/>
        </w:sectPr>
      </w:pPr>
    </w:p>
    <w:p w14:paraId="467CFBBB" w14:textId="77777777" w:rsidR="003F6561" w:rsidRPr="00972808" w:rsidRDefault="003F6561" w:rsidP="00D06E57">
      <w:pPr>
        <w:pStyle w:val="SRNadpis2"/>
      </w:pPr>
      <w:bookmarkStart w:id="133" w:name="_Toc52369870"/>
      <w:bookmarkStart w:id="134" w:name="_Ref156812165"/>
      <w:bookmarkStart w:id="135" w:name="_Hlk220397457"/>
      <w:bookmarkStart w:id="136" w:name="_Toc239067836"/>
      <w:r w:rsidRPr="00972808">
        <w:lastRenderedPageBreak/>
        <w:t>Výdaje na platy zaměstnanců a ostatní platby za provedenou práci</w:t>
      </w:r>
      <w:bookmarkEnd w:id="133"/>
      <w:bookmarkEnd w:id="134"/>
      <w:bookmarkEnd w:id="136"/>
    </w:p>
    <w:p w14:paraId="3E54BFDD" w14:textId="77777777" w:rsidR="00E12ABC" w:rsidRPr="00972808" w:rsidRDefault="00E12ABC" w:rsidP="00E12ABC">
      <w:pPr>
        <w:pStyle w:val="SRTextnomal"/>
      </w:pPr>
      <w:bookmarkStart w:id="137" w:name="_Toc80264012"/>
      <w:r w:rsidRPr="00972808">
        <w:t xml:space="preserve">Výdaje na platy a ostatní platby za provedenou práci rozpočtované v organizačních složkách státu tvoří významnou součást veřejné spotřeby. Spolu s náklady na platy a ostatními osobními náklady příspěvkových organizací jsou pro rok 2027 rozpočtovány v objemu 306,4 mld. Kč (včetně nadnárodních zdrojů </w:t>
      </w:r>
      <w:r w:rsidRPr="00972808">
        <w:rPr>
          <w:rFonts w:eastAsia="Calibri"/>
        </w:rPr>
        <w:t>v rámci programů spolufinancovaných z rozpočtu Evropské unie a finančních mechanismů)</w:t>
      </w:r>
      <w:r w:rsidRPr="00972808">
        <w:t xml:space="preserve">. </w:t>
      </w:r>
    </w:p>
    <w:p w14:paraId="54515AAC" w14:textId="77777777" w:rsidR="00E12ABC" w:rsidRPr="00972808" w:rsidRDefault="00E12ABC" w:rsidP="00E12ABC">
      <w:pPr>
        <w:pStyle w:val="SRTextnomal"/>
      </w:pPr>
      <w:r w:rsidRPr="00972808">
        <w:t xml:space="preserve">V rozpočtovaných částkách jsou zahrnuty výdaje na platy a ostatní platby za provedenou práci těch organizačních složek státu a příspěvkových organizací, ve kterých jsou počty míst a výdělková úroveň regulovány vládou. Nejsou v ní tedy zahrnuty výdaje na platy zaměstnanců vysokých, církevních a soukromých škol, veřejných výzkumných institucí a zdravotnických zařízení, jejichž financování je napojeno na síť zdravotních pojišťoven, ani výdaje na platy zaměstnanců, jejichž financování je zabezpečováno na vrub rozpočtů územních samosprávných celků, ani výdaje organizací, které své zaměstnance odměňují podle platových předpisů platných pro zaměstnavatele v podnikatelské sféře. </w:t>
      </w:r>
    </w:p>
    <w:p w14:paraId="5D031AF6" w14:textId="38DF2F23" w:rsidR="00A45835" w:rsidRPr="00972808" w:rsidRDefault="00A45835" w:rsidP="000D440D">
      <w:pPr>
        <w:pStyle w:val="SRTitulek1"/>
      </w:pPr>
      <w:bookmarkStart w:id="138" w:name="_Toc239067882"/>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13</w:t>
      </w:r>
      <w:r w:rsidR="00391DA8" w:rsidRPr="00972808">
        <w:rPr>
          <w:noProof/>
        </w:rPr>
        <w:fldChar w:fldCharType="end"/>
      </w:r>
      <w:r w:rsidRPr="00972808">
        <w:t xml:space="preserve"> </w:t>
      </w:r>
      <w:bookmarkEnd w:id="137"/>
      <w:r w:rsidR="00E12ABC" w:rsidRPr="00972808">
        <w:t>Vývoj objemu prostředků na platy, ostatní platby za provedenou práci, příslušenství, počtu míst a průměrných platů v OSS a PO (nepedagogové v regionálním školství ÚSC nejsou v letech 2022-2025 zahrnuti)</w:t>
      </w:r>
      <w:bookmarkEnd w:id="138"/>
    </w:p>
    <w:p w14:paraId="5B2E296E" w14:textId="0996648C" w:rsidR="000547F0" w:rsidRPr="00972808" w:rsidRDefault="00E12ABC" w:rsidP="00F17546">
      <w:pPr>
        <w:pStyle w:val="SRTextnomal"/>
      </w:pPr>
      <w:r w:rsidRPr="00972808">
        <w:rPr>
          <w:noProof/>
        </w:rPr>
        <w:drawing>
          <wp:inline distT="0" distB="0" distL="0" distR="0" wp14:anchorId="60DA9ACF" wp14:editId="72E25CE9">
            <wp:extent cx="6120130" cy="128206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130" cy="1282065"/>
                    </a:xfrm>
                    <a:prstGeom prst="rect">
                      <a:avLst/>
                    </a:prstGeom>
                    <a:noFill/>
                    <a:ln>
                      <a:noFill/>
                    </a:ln>
                  </pic:spPr>
                </pic:pic>
              </a:graphicData>
            </a:graphic>
          </wp:inline>
        </w:drawing>
      </w:r>
    </w:p>
    <w:p w14:paraId="6C2472B0" w14:textId="39583440" w:rsidR="002E7E5B" w:rsidRPr="00972808" w:rsidRDefault="002E7E5B" w:rsidP="002E7E5B">
      <w:pPr>
        <w:pStyle w:val="SRTitulek1"/>
      </w:pPr>
      <w:bookmarkStart w:id="139" w:name="_Toc80264013"/>
      <w:bookmarkStart w:id="140" w:name="_Toc239067924"/>
      <w:r w:rsidRPr="00972808">
        <w:t xml:space="preserve">Graf </w:t>
      </w:r>
      <w:r w:rsidRPr="00972808">
        <w:fldChar w:fldCharType="begin"/>
      </w:r>
      <w:r w:rsidRPr="00972808">
        <w:instrText xml:space="preserve"> SEQ Graf \* ARABIC </w:instrText>
      </w:r>
      <w:r w:rsidRPr="00972808">
        <w:fldChar w:fldCharType="separate"/>
      </w:r>
      <w:r w:rsidR="00344480">
        <w:rPr>
          <w:noProof/>
        </w:rPr>
        <w:t>15</w:t>
      </w:r>
      <w:r w:rsidRPr="00972808">
        <w:rPr>
          <w:noProof/>
        </w:rPr>
        <w:fldChar w:fldCharType="end"/>
      </w:r>
      <w:r w:rsidRPr="00972808">
        <w:t xml:space="preserve"> </w:t>
      </w:r>
      <w:r w:rsidR="00E12ABC" w:rsidRPr="00972808">
        <w:t>Změna počtu míst zaměstnanců mezi roky 2026 a 2027</w:t>
      </w:r>
      <w:bookmarkEnd w:id="140"/>
    </w:p>
    <w:p w14:paraId="4D50C186" w14:textId="4CCA1958" w:rsidR="002E7E5B" w:rsidRPr="00972808" w:rsidRDefault="00E57C9F" w:rsidP="002E7E5B">
      <w:pPr>
        <w:pStyle w:val="SRTextnomal"/>
      </w:pPr>
      <w:r w:rsidRPr="00972808">
        <w:rPr>
          <w:noProof/>
        </w:rPr>
        <w:drawing>
          <wp:inline distT="0" distB="0" distL="0" distR="0" wp14:anchorId="18A9B892" wp14:editId="6FE10C17">
            <wp:extent cx="6120387" cy="3190324"/>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56955" cy="3209385"/>
                    </a:xfrm>
                    <a:prstGeom prst="rect">
                      <a:avLst/>
                    </a:prstGeom>
                    <a:noFill/>
                  </pic:spPr>
                </pic:pic>
              </a:graphicData>
            </a:graphic>
          </wp:inline>
        </w:drawing>
      </w:r>
    </w:p>
    <w:p w14:paraId="2ECCBF09" w14:textId="77777777" w:rsidR="002E7E5B" w:rsidRPr="00972808" w:rsidRDefault="002E7E5B" w:rsidP="0083636B">
      <w:pPr>
        <w:pStyle w:val="SRTextnomal"/>
      </w:pPr>
    </w:p>
    <w:p w14:paraId="56306B35" w14:textId="77777777" w:rsidR="00E12ABC" w:rsidRPr="00972808" w:rsidRDefault="00E12ABC" w:rsidP="00E12ABC">
      <w:pPr>
        <w:pStyle w:val="SRTextnomal"/>
      </w:pPr>
      <w:r w:rsidRPr="00972808">
        <w:t>V důsledku všech vlivů, které jsou dále v kapitole popsány, se celkové výdaje na platy a ostatní platby za provedenou práci (vč. nákladů na platy a ostatní osobní náklady v příspěvkových organizacích) zvyšují oproti schválenému rozpočtu na rok 2026 o 5,3 %, celkový počet míst se zvyšuje o 1,7 %. Celkový průměrný plat (finančně nepokrytá místa nejsou uvažována) se meziročně navyšuje o 3,1 %.</w:t>
      </w:r>
    </w:p>
    <w:p w14:paraId="0C22D079" w14:textId="5B74128B" w:rsidR="00A45835" w:rsidRPr="00972808" w:rsidRDefault="00A45835" w:rsidP="000D440D">
      <w:pPr>
        <w:pStyle w:val="SRTitulek1"/>
      </w:pPr>
      <w:bookmarkStart w:id="141" w:name="_Toc80264014"/>
      <w:bookmarkStart w:id="142" w:name="_Toc239067883"/>
      <w:bookmarkEnd w:id="139"/>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14</w:t>
      </w:r>
      <w:r w:rsidR="00391DA8" w:rsidRPr="00972808">
        <w:rPr>
          <w:noProof/>
        </w:rPr>
        <w:fldChar w:fldCharType="end"/>
      </w:r>
      <w:r w:rsidRPr="00972808">
        <w:t xml:space="preserve"> </w:t>
      </w:r>
      <w:bookmarkEnd w:id="141"/>
      <w:r w:rsidR="00E12ABC" w:rsidRPr="00972808">
        <w:t>Prostředky na platy a ostatní platby za provedenou práci v OSS a PO</w:t>
      </w:r>
      <w:bookmarkEnd w:id="142"/>
    </w:p>
    <w:p w14:paraId="1439DA9A" w14:textId="1B7FA3AA" w:rsidR="00570774" w:rsidRPr="00972808" w:rsidRDefault="00E12ABC" w:rsidP="00570774">
      <w:pPr>
        <w:pStyle w:val="SRTextnomal"/>
      </w:pPr>
      <w:r w:rsidRPr="00972808">
        <w:rPr>
          <w:noProof/>
        </w:rPr>
        <w:drawing>
          <wp:inline distT="0" distB="0" distL="0" distR="0" wp14:anchorId="066827B2" wp14:editId="3635417D">
            <wp:extent cx="6120130" cy="310705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130" cy="3107055"/>
                    </a:xfrm>
                    <a:prstGeom prst="rect">
                      <a:avLst/>
                    </a:prstGeom>
                    <a:noFill/>
                    <a:ln>
                      <a:noFill/>
                    </a:ln>
                  </pic:spPr>
                </pic:pic>
              </a:graphicData>
            </a:graphic>
          </wp:inline>
        </w:drawing>
      </w:r>
    </w:p>
    <w:p w14:paraId="3BD5E609" w14:textId="759F9061" w:rsidR="003926DF" w:rsidRPr="00972808" w:rsidRDefault="003926DF" w:rsidP="003926DF">
      <w:pPr>
        <w:pStyle w:val="SRTitulek1"/>
      </w:pPr>
      <w:bookmarkStart w:id="143" w:name="_Toc239067884"/>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15</w:t>
      </w:r>
      <w:r w:rsidR="00391DA8" w:rsidRPr="00972808">
        <w:rPr>
          <w:noProof/>
        </w:rPr>
        <w:fldChar w:fldCharType="end"/>
      </w:r>
      <w:r w:rsidRPr="00972808">
        <w:t xml:space="preserve"> </w:t>
      </w:r>
      <w:r w:rsidR="00E12ABC" w:rsidRPr="00972808">
        <w:t>Počty míst zaměstnanců, příslušníků, vojáků, státních zástupců a odvozených v OSS a PO</w:t>
      </w:r>
      <w:bookmarkEnd w:id="143"/>
    </w:p>
    <w:p w14:paraId="2EA461EA" w14:textId="4FC1ED10" w:rsidR="00A45835" w:rsidRPr="00972808" w:rsidRDefault="00E12ABC" w:rsidP="00914717">
      <w:pPr>
        <w:pStyle w:val="SRTextnomal"/>
      </w:pPr>
      <w:r w:rsidRPr="00972808">
        <w:rPr>
          <w:noProof/>
        </w:rPr>
        <w:drawing>
          <wp:inline distT="0" distB="0" distL="0" distR="0" wp14:anchorId="487FECB3" wp14:editId="53097C4E">
            <wp:extent cx="6120130" cy="299275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992755"/>
                    </a:xfrm>
                    <a:prstGeom prst="rect">
                      <a:avLst/>
                    </a:prstGeom>
                    <a:noFill/>
                    <a:ln>
                      <a:noFill/>
                    </a:ln>
                  </pic:spPr>
                </pic:pic>
              </a:graphicData>
            </a:graphic>
          </wp:inline>
        </w:drawing>
      </w:r>
    </w:p>
    <w:p w14:paraId="7FC98E2A" w14:textId="77777777" w:rsidR="002E7E5B" w:rsidRPr="00972808" w:rsidRDefault="002E7E5B" w:rsidP="00861243">
      <w:pPr>
        <w:pStyle w:val="SRTextnomal"/>
        <w:sectPr w:rsidR="002E7E5B" w:rsidRPr="00972808" w:rsidSect="0087662B">
          <w:footerReference w:type="default" r:id="rId52"/>
          <w:pgSz w:w="11906" w:h="16838" w:code="9"/>
          <w:pgMar w:top="1134" w:right="1134" w:bottom="1134" w:left="1134" w:header="709" w:footer="709" w:gutter="0"/>
          <w:cols w:space="397"/>
          <w:docGrid w:linePitch="360"/>
        </w:sectPr>
      </w:pPr>
    </w:p>
    <w:p w14:paraId="4DC89CEA" w14:textId="77777777" w:rsidR="002E7E5B" w:rsidRPr="00972808" w:rsidRDefault="002E7E5B" w:rsidP="00861243">
      <w:pPr>
        <w:pStyle w:val="SRTextnomal"/>
      </w:pPr>
    </w:p>
    <w:p w14:paraId="2E5D1FC7" w14:textId="61BB7397" w:rsidR="006E5344" w:rsidRPr="00972808" w:rsidRDefault="006E5344" w:rsidP="006E5344">
      <w:pPr>
        <w:pStyle w:val="SRTitulek1"/>
      </w:pPr>
      <w:bookmarkStart w:id="144" w:name="_Toc239067925"/>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16</w:t>
      </w:r>
      <w:r w:rsidR="00391DA8" w:rsidRPr="00972808">
        <w:rPr>
          <w:noProof/>
        </w:rPr>
        <w:fldChar w:fldCharType="end"/>
      </w:r>
      <w:r w:rsidRPr="00972808">
        <w:t xml:space="preserve"> </w:t>
      </w:r>
      <w:r w:rsidR="00E12ABC" w:rsidRPr="00972808">
        <w:t>Počty míst a objemy prostředků na platy a ostatní platby za provedenou práci v roce 2027 (vč. EU/FM)</w:t>
      </w:r>
      <w:bookmarkEnd w:id="144"/>
    </w:p>
    <w:p w14:paraId="12455F86" w14:textId="35BDEB16" w:rsidR="002E7E5B" w:rsidRPr="00972808" w:rsidRDefault="00A41B82" w:rsidP="002E7E5B">
      <w:pPr>
        <w:pStyle w:val="SRTextnomal"/>
      </w:pPr>
      <w:r w:rsidRPr="00972808">
        <w:rPr>
          <w:noProof/>
        </w:rPr>
        <w:drawing>
          <wp:inline distT="0" distB="0" distL="0" distR="0" wp14:anchorId="647C7A4C" wp14:editId="2FF349D9">
            <wp:extent cx="9142730" cy="4854286"/>
            <wp:effectExtent l="0" t="0" r="1270"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45365" cy="4855685"/>
                    </a:xfrm>
                    <a:prstGeom prst="rect">
                      <a:avLst/>
                    </a:prstGeom>
                    <a:noFill/>
                  </pic:spPr>
                </pic:pic>
              </a:graphicData>
            </a:graphic>
          </wp:inline>
        </w:drawing>
      </w:r>
    </w:p>
    <w:p w14:paraId="718ACF9D" w14:textId="7E8B874B" w:rsidR="006E5344" w:rsidRPr="00972808" w:rsidRDefault="006E5344" w:rsidP="002E7E5B">
      <w:pPr>
        <w:jc w:val="center"/>
      </w:pPr>
    </w:p>
    <w:p w14:paraId="5FF7381A" w14:textId="77777777" w:rsidR="006E5344" w:rsidRPr="00972808" w:rsidRDefault="006E5344" w:rsidP="00A45835"/>
    <w:p w14:paraId="621C3563" w14:textId="77777777" w:rsidR="003F4AB2" w:rsidRPr="00972808" w:rsidRDefault="003F4AB2" w:rsidP="00A45835">
      <w:pPr>
        <w:sectPr w:rsidR="003F4AB2" w:rsidRPr="00972808" w:rsidSect="0087662B">
          <w:pgSz w:w="16838" w:h="11906" w:orient="landscape" w:code="9"/>
          <w:pgMar w:top="1134" w:right="1134" w:bottom="1134" w:left="1134" w:header="709" w:footer="709" w:gutter="0"/>
          <w:cols w:space="397"/>
          <w:docGrid w:linePitch="360"/>
        </w:sectPr>
      </w:pPr>
    </w:p>
    <w:p w14:paraId="5974895A" w14:textId="45D884D2" w:rsidR="00AD71D7" w:rsidRPr="00972808" w:rsidRDefault="0083636B" w:rsidP="00AD71D7">
      <w:pPr>
        <w:pStyle w:val="SRTextnomal"/>
        <w:rPr>
          <w:rFonts w:eastAsia="Calibri"/>
        </w:rPr>
      </w:pPr>
      <w:bookmarkStart w:id="145" w:name="_Toc52369871"/>
      <w:r w:rsidRPr="00972808">
        <w:rPr>
          <w:rFonts w:eastAsia="Calibri"/>
        </w:rPr>
        <w:lastRenderedPageBreak/>
        <w:t>Objemy prostředků na platy, ostatní platby za provedenou práci a celkové počty míst v jednotlivých rozpočtových kapitolách a v dalším členění jsou dále detailněji rozepsány v tabulkové části dokumentace (Tabulková část, tabulky č. 10 </w:t>
      </w:r>
      <w:r w:rsidRPr="00972808">
        <w:rPr>
          <w:rFonts w:eastAsia="Calibri"/>
        </w:rPr>
        <w:noBreakHyphen/>
        <w:t> 17).</w:t>
      </w:r>
    </w:p>
    <w:p w14:paraId="5394D716" w14:textId="51A1C0C3" w:rsidR="00BB226F" w:rsidRPr="00972808" w:rsidRDefault="00A8295D" w:rsidP="00AD317C">
      <w:pPr>
        <w:pStyle w:val="SRNadpis3"/>
      </w:pPr>
      <w:bookmarkStart w:id="146" w:name="_Toc239067837"/>
      <w:bookmarkEnd w:id="145"/>
      <w:r w:rsidRPr="00972808">
        <w:t>Vlivy nad rámec schváleného střednědobého výhledu na rok 202</w:t>
      </w:r>
      <w:r w:rsidR="00E57C9F" w:rsidRPr="00972808">
        <w:t>7</w:t>
      </w:r>
      <w:bookmarkEnd w:id="146"/>
    </w:p>
    <w:p w14:paraId="00F587A3" w14:textId="77777777" w:rsidR="00A41B82" w:rsidRPr="00972808" w:rsidRDefault="00A41B82" w:rsidP="00A41B82">
      <w:pPr>
        <w:pStyle w:val="SRTextnomal"/>
      </w:pPr>
      <w:r w:rsidRPr="00972808">
        <w:t>Nad rámec vládou schváleného střednědobého výhledu jsou do návrhu parametrů promítnuty vlivy vycházející z provedených rozpočtových opatření, resp. úprav limitů regulace zaměstnanosti v roce 2026 s charakterem trvalých změn, které byly zaneseny do chronologické evidence v Integrovaném informačním systému Státní pokladny, byly zapracovány v návaznosti na schválenou legislativu nebo byly výsledkem projednání s Ministerstvem financí. Součástí jsou rovněž převody zaměstnanců a finančních prostředků mezi jednotlivými rozpočtovými kapitolami. Tyto převody nemají ve svém souhrnu dopad na celkové výdaje státního rozpočtu, mění však jejich rozložení mezi jednotlivé instituce.</w:t>
      </w:r>
    </w:p>
    <w:p w14:paraId="66613967" w14:textId="77777777" w:rsidR="00A41B82" w:rsidRPr="00972808" w:rsidRDefault="00A41B82" w:rsidP="00A41B82">
      <w:pPr>
        <w:pStyle w:val="SRTextnomal"/>
      </w:pPr>
      <w:r w:rsidRPr="00972808">
        <w:t>Valorizace platové oblasti je v návrhu rozpočtu promítnuta prozatím pouze v kategorii učitelů a dále u soudců, státních zástupců a představitelů státní moci. Valorizaci platů dalších kategorií zaměstnanců, tj. např. příslušníků bezpečnostních sborů, vojáků, zaměstnanců státních příspěvkových organizací či státních zaměstnanců lze očekávat až po jejím projednání v rámci tripartity, respektive po schválení vládou.</w:t>
      </w:r>
    </w:p>
    <w:p w14:paraId="3AE3FF4F" w14:textId="77777777" w:rsidR="00A41B82" w:rsidRPr="00972808" w:rsidRDefault="00A41B82" w:rsidP="00A41B82">
      <w:pPr>
        <w:pStyle w:val="SRTextnomal"/>
      </w:pPr>
      <w:r w:rsidRPr="00972808">
        <w:t xml:space="preserve">Valorizace platů učitelů vyplývá z navázání průměrného platu učitelů na úroveň 130 % průměrné mzdy v národním hospodářství za rok n−2. V důsledku této úpravy se v kapitole Ministerstvo školství, mládeže a tělovýchovy zvyšuje objem prostředků na platy o 6,7 mld. Kč. </w:t>
      </w:r>
    </w:p>
    <w:p w14:paraId="57C6454D" w14:textId="77777777" w:rsidR="00A41B82" w:rsidRPr="00972808" w:rsidRDefault="00A41B82" w:rsidP="00A41B82">
      <w:pPr>
        <w:pStyle w:val="SRTextnomal"/>
      </w:pPr>
      <w:r w:rsidRPr="00972808">
        <w:t>Jak je naznačeno výše, je promítnuta také zákonná valorizace platů soudců, státních zástupců, představitelů státní moci a odvozených představitelů (+6,04 %). Tato změna se týká více rozpočtových kapitol a zvyšuje objem prostředků potřebných na platy a objem prostředků na ostatní platby za provedenou práci o 0,62 mld. Kč</w:t>
      </w:r>
    </w:p>
    <w:p w14:paraId="6C5D7F60" w14:textId="77777777" w:rsidR="00A41B82" w:rsidRPr="00972808" w:rsidRDefault="00A41B82" w:rsidP="00A41B82">
      <w:pPr>
        <w:pStyle w:val="SRTextnomal"/>
      </w:pPr>
      <w:r w:rsidRPr="00972808">
        <w:t>V kapitole Ministerstvo školství, mládeže a tělovýchovy dochází též k posílení činností škol v oblasti duševního zdraví, rozšíření dostupnosti poradenských a podpůrných služeb ve vzdělávání a ke zvýšení kvality inkluzivního vzdělávání (adekvátní zajištění podmínek pro systematické financování platů školních psychologů, speciálních pedagogů, sociálních pedagogů a asistentů pedagoga v 1. ročnících základních škol). Rovněž dochází k posílení provozu dětských domovů. Z těchto důvodů se zřizuje celkem 5 271 funkčních míst s dopadem do objemu prostředků na platy ve výši 2,9 mld. Kč. V neposlední řadě pak vzniká 1 452 nových funkčních míst učitelů určených pro zajištění nových výkonů, což představuje dopad do objemu prostředků na platy ve výši 1,1 mld. Kč.</w:t>
      </w:r>
    </w:p>
    <w:p w14:paraId="59EC6F00" w14:textId="4203DF8F" w:rsidR="00A41B82" w:rsidRPr="00972808" w:rsidRDefault="00A41B82" w:rsidP="00A41B82">
      <w:pPr>
        <w:pStyle w:val="SRTextnomal"/>
      </w:pPr>
      <w:r w:rsidRPr="00972808">
        <w:t>Významné posílení personálních kapacit se promítá také do kapitoly Ministerstvo vnitra. Od roku 2027 dochází k</w:t>
      </w:r>
      <w:r w:rsidR="00E57C9F" w:rsidRPr="00972808">
        <w:t> </w:t>
      </w:r>
      <w:r w:rsidRPr="00972808">
        <w:t>zabezpečení prostředků na platy pro 1 592 dosud rozpočtově nepokrytých míst příslušníků Policie ČR (1 583 míst) a</w:t>
      </w:r>
      <w:r w:rsidR="00E57C9F" w:rsidRPr="00972808">
        <w:t> </w:t>
      </w:r>
      <w:r w:rsidRPr="00972808">
        <w:t>Hasičského záchranného sboru ČR (9 míst). Tento vliv souvisí s potřebou stabilizovat personální zabezpečení těchto bezpečnostních sborů a zajistit plnění jejich úkolů v požadovaném rozsahu. Navýšení objemu prostředků na platy v této souvislosti činí 0,96 mld. Kč.</w:t>
      </w:r>
    </w:p>
    <w:p w14:paraId="5E6B26D8" w14:textId="77777777" w:rsidR="00A41B82" w:rsidRPr="00972808" w:rsidRDefault="00A41B82" w:rsidP="00A41B82">
      <w:pPr>
        <w:pStyle w:val="SRTextnomal"/>
      </w:pPr>
      <w:r w:rsidRPr="00972808">
        <w:t>V kapitole Ministerstvo obrany se do návrhu rozpočtu promítá především zajištění personálních kapacit souvisejících se zvýšeným náborem vojáků z povolání. Za tímto účelem se zřizuje 510 funkčních míst, což představuje zvýšení objemu prostředků na platy o 0,77 mld. Kč. Vedle toho se o 0,46 mld. Kč zvyšují prostředky na platy určené pro civilní zaměstnance resortu. Toto navýšení souvisí s úpravou úrovně odměňování a se zajištěním odpovídajících personálních podmínek pro plnění úkolů v resortu Ministerstva obrany.</w:t>
      </w:r>
    </w:p>
    <w:p w14:paraId="4FBE101F" w14:textId="7DA12EF0" w:rsidR="00A41B82" w:rsidRPr="00972808" w:rsidRDefault="00A41B82" w:rsidP="00A41B82">
      <w:pPr>
        <w:pStyle w:val="SRTextnomal"/>
      </w:pPr>
      <w:r w:rsidRPr="00972808">
        <w:t>Samostatnou skupinu změn představují opatření související se vznikem nové kapitoly Úřadu rozvoje území. V této souvislosti se do nové kapitoly převádějí místa a odpovídající platové prostředky z několika rozpočtových kapitol. Celkem se přesouvá 197 funkčních míst včetně souvisejícího objemu prostředků na platy ve výši 0,15 mld. Kč. Vedle uvedených kapacit se dále v kapitole Úřad rozvoje území zřizuje 205 nových funkčních míst, která jsou vytvořena za účelem vytvoření podmínek pro prvotní přesun zaměstnanců, kteří jsou dosud zaměstnáváni územními samosprávnými celky. S</w:t>
      </w:r>
      <w:r w:rsidR="00E57C9F" w:rsidRPr="00972808">
        <w:t> </w:t>
      </w:r>
      <w:r w:rsidRPr="00972808">
        <w:t xml:space="preserve">jejich zřízením souvisí zajištění objemu prostředků na platy ve výši 0,14 mld. Kč. </w:t>
      </w:r>
    </w:p>
    <w:p w14:paraId="497D656E" w14:textId="77777777" w:rsidR="00A41B82" w:rsidRPr="00972808" w:rsidRDefault="00A41B82" w:rsidP="00A41B82">
      <w:pPr>
        <w:pStyle w:val="SRTextnomal"/>
      </w:pPr>
      <w:r w:rsidRPr="00972808">
        <w:t>V kapitole Ministerstvo financí se zřizuje 250 funkčních míst pro zajištění agendy elektronické evidence tržeb. Navýšení personálních kapacit je spojeno s potřebou zabezpečit výkon této agendy včetně souvisejících administrativních, kontrolních a metodických činností. Dopad do objemu prostředků na platy činí 0,15 mld. Kč.</w:t>
      </w:r>
    </w:p>
    <w:p w14:paraId="6AA90393" w14:textId="31F0AB15" w:rsidR="00A41B82" w:rsidRPr="00972808" w:rsidRDefault="00A41B82" w:rsidP="00A41B82">
      <w:pPr>
        <w:pStyle w:val="SRTextnomal"/>
      </w:pPr>
      <w:r w:rsidRPr="00972808">
        <w:t>Ke snížení objemu prostředků na platy a počtu míst dochází v kapitole Ministerstvo spravedlnosti. V souvislosti s</w:t>
      </w:r>
      <w:r w:rsidR="00E57C9F" w:rsidRPr="00972808">
        <w:t> </w:t>
      </w:r>
      <w:r w:rsidRPr="00972808">
        <w:t xml:space="preserve">vyjmutím zdravotnických zařízení Ministerstva spravedlnosti z regulace zaměstnanosti se snižuje objem prostředků na platy o 0,35 mld. Kč. Současně s tím dochází k vyjmutí počtu regulovaných míst o 569. </w:t>
      </w:r>
    </w:p>
    <w:p w14:paraId="70FB1DB4" w14:textId="77777777" w:rsidR="00A41B82" w:rsidRPr="00972808" w:rsidRDefault="00A41B82" w:rsidP="00A41B82">
      <w:pPr>
        <w:pStyle w:val="SRTextnomal"/>
      </w:pPr>
      <w:r w:rsidRPr="00972808">
        <w:t xml:space="preserve">Další změny v návrhu rozpočtu souvisejí s převody agend mezi jednotlivými ministerstvy a dalšími institucemi. Jedná se například o oblast romských záležitostí, protidrogové politiky, duševního zdraví nebo vědy a výzkumu. V těchto případech dochází k přesunu míst a prostředků na platy a ostatních plateb za provedenou práci mezi kapitolami. Tyto změny proto představují především změnu organizačního a rozpočtového zařazení příslušných činností. </w:t>
      </w:r>
    </w:p>
    <w:p w14:paraId="5C322705" w14:textId="77777777" w:rsidR="00A8295D" w:rsidRPr="00972808" w:rsidRDefault="00A8295D" w:rsidP="00AD317C">
      <w:pPr>
        <w:pStyle w:val="SRNadpis3"/>
      </w:pPr>
      <w:bookmarkStart w:id="147" w:name="_Toc239067838"/>
      <w:r w:rsidRPr="00972808">
        <w:lastRenderedPageBreak/>
        <w:t>Spolufinancování z Evropské unie a finančních mechanismů (EU/FM)</w:t>
      </w:r>
      <w:bookmarkEnd w:id="147"/>
    </w:p>
    <w:p w14:paraId="63CB1DBD" w14:textId="77777777" w:rsidR="00A41B82" w:rsidRPr="00972808" w:rsidRDefault="00A41B82" w:rsidP="00A41B82">
      <w:pPr>
        <w:pStyle w:val="SRTextnomal"/>
        <w:rPr>
          <w:rFonts w:eastAsia="Calibri"/>
        </w:rPr>
      </w:pPr>
      <w:bookmarkStart w:id="148" w:name="_Toc80264016"/>
      <w:r w:rsidRPr="00972808">
        <w:rPr>
          <w:rFonts w:eastAsia="Calibri"/>
        </w:rPr>
        <w:t xml:space="preserve">Konečnou podobu celkových rozpočtových limitů svou měrou ovlivňuje objem prostředků na platy, ostatní platby za provedenou práci a počet míst určený na administraci, realizaci a audit projektů v rámci programů spolufinancovaných z rozpočtu Evropské unie a finančních mechanismů (dále EU/FM). Do této oblasti je pro rok 2027 z nadnárodních zdrojů vybilancovaných zvýšenými příjmy z EU/FM zahrnuta částka ve výši 2,7 mld. Kč. K výdajům krytým příjmy z EU/FM je v oblasti platů a ostatních plateb za provedenou práci rozpočtována rovněž národní část prostředků na spolufinancování ze státního rozpočtu. Tento podíl činí pro rok 2027 celkem 0,9 mld. Kč, z čehož 0,8 mld. Kč bylo do platové oblasti s roční platností zařazeno z ostatních běžných výdajů dotčených kapitol. </w:t>
      </w:r>
    </w:p>
    <w:p w14:paraId="0240CE9B" w14:textId="77777777" w:rsidR="00A41B82" w:rsidRPr="00972808" w:rsidRDefault="00A41B82" w:rsidP="00A41B82">
      <w:pPr>
        <w:pStyle w:val="SRTextnomal"/>
        <w:rPr>
          <w:rFonts w:eastAsia="Calibri"/>
        </w:rPr>
      </w:pPr>
      <w:r w:rsidRPr="00972808">
        <w:rPr>
          <w:rFonts w:eastAsia="Calibri"/>
        </w:rPr>
        <w:t xml:space="preserve">Během rozpočtových prací bylo tradičně a s ohledem na hospodárné vynakládání prostředků v platové oblasti přistoupeno k analýze finančních možností s důrazem na využitelnost rezerv kumulovaných v nárocích z nespotřebovaných výdajů a následným redukcím rozpočtových návrhů jednotlivých kapitol způsobem, aby rozpočtový limit společně s predikcí vzniku úspor z minulých let zajistil dostatečné a plynulé čerpání prostředků na platy a ostatní platby za provedenou práci. </w:t>
      </w:r>
    </w:p>
    <w:p w14:paraId="0B42B5DA" w14:textId="1BB11D45" w:rsidR="00A41B82" w:rsidRPr="00972808" w:rsidRDefault="00A41B82" w:rsidP="00A41B82">
      <w:pPr>
        <w:pStyle w:val="SRTextnomal"/>
        <w:rPr>
          <w:rFonts w:eastAsia="Calibri"/>
        </w:rPr>
      </w:pPr>
      <w:r w:rsidRPr="00972808">
        <w:rPr>
          <w:rFonts w:eastAsia="Calibri"/>
        </w:rPr>
        <w:t>Co se týká počtu míst, celkem je pro rok 2027 navržen počet jednorázových míst ve výši 4 452. Meziročně se jedná o</w:t>
      </w:r>
      <w:r w:rsidR="00E57C9F" w:rsidRPr="00972808">
        <w:rPr>
          <w:rFonts w:eastAsia="Calibri"/>
        </w:rPr>
        <w:t> </w:t>
      </w:r>
      <w:r w:rsidRPr="00972808">
        <w:rPr>
          <w:rFonts w:eastAsia="Calibri"/>
        </w:rPr>
        <w:t>pokles o 688 míst, který je způsoben zejména ke konci roku 2026 končícím Národním plánem obnovy.</w:t>
      </w:r>
    </w:p>
    <w:p w14:paraId="19471FC0" w14:textId="77777777" w:rsidR="00A41B82" w:rsidRPr="00972808" w:rsidRDefault="00A41B82" w:rsidP="00A41B82">
      <w:pPr>
        <w:pStyle w:val="SRTextnomal"/>
        <w:rPr>
          <w:rFonts w:eastAsia="Calibri"/>
        </w:rPr>
      </w:pPr>
      <w:r w:rsidRPr="00972808">
        <w:rPr>
          <w:rFonts w:eastAsia="Calibri"/>
        </w:rPr>
        <w:t xml:space="preserve">Jednorázové navýšení představuje místa, která jsou do limitu státního rozpočtu promítána ročně společně s rozpočtovanými prostředky z EU/FM. Jsou určena primárně na zabezpečení administrace, realizace či auditu programů/projektů po dobu programového období. </w:t>
      </w:r>
    </w:p>
    <w:p w14:paraId="5899D205" w14:textId="77777777" w:rsidR="00A41B82" w:rsidRPr="00972808" w:rsidRDefault="00A41B82" w:rsidP="00A41B82">
      <w:pPr>
        <w:pStyle w:val="SRTextnomal"/>
        <w:rPr>
          <w:rFonts w:eastAsia="Calibri"/>
        </w:rPr>
      </w:pPr>
      <w:r w:rsidRPr="00972808">
        <w:rPr>
          <w:rFonts w:eastAsia="Calibri"/>
        </w:rPr>
        <w:t xml:space="preserve">Mimo jednorázové navýšení mají úřady možnost ze svých personálních limitů vyčlenit část kapacity, která se po dobu administrace či realizace bude podílet na čerpání prostředků z EU/FM. Tato místa lze během či po ukončení projektů, maximálně programového období, zařadit zpět do kmenových agend. V parametrech rozpočtu na rok 2027 je napříč dotčenými úřady určeno 292 takových míst kmenových zaměstnanců. </w:t>
      </w:r>
    </w:p>
    <w:p w14:paraId="201AED23" w14:textId="77777777" w:rsidR="00A41B82" w:rsidRPr="00972808" w:rsidRDefault="00A41B82" w:rsidP="00A41B82">
      <w:pPr>
        <w:pStyle w:val="SRTextnomal"/>
        <w:rPr>
          <w:rFonts w:eastAsia="Calibri"/>
        </w:rPr>
      </w:pPr>
      <w:r w:rsidRPr="00972808">
        <w:rPr>
          <w:rFonts w:eastAsia="Calibri"/>
        </w:rPr>
        <w:t>Třetím možným případem personálního zajištění jsou kmenoví zaměstnanci úřadů a organizací, jejichž plat je plně hrazen ze státního rozpočtu a zároveň existuje možnost jejich motivaci (osobní příplatek, odměny) částečně nebo plně hradit z prostředků EU/FM. Pro rok 2027 se uvažuje s 1 461 fyzickými zaměstnanci, na které by se tato možnost měla vztahovat.</w:t>
      </w:r>
    </w:p>
    <w:p w14:paraId="4408154E" w14:textId="77777777" w:rsidR="00A41B82" w:rsidRPr="00972808" w:rsidRDefault="00A41B82" w:rsidP="00A41B82">
      <w:r w:rsidRPr="00972808">
        <w:t>Základní přehled v rozčlenění na jednotlivé kapitoly uvádí následující tabulka.</w:t>
      </w:r>
    </w:p>
    <w:p w14:paraId="3CCFB110" w14:textId="46D602B4" w:rsidR="00814F52" w:rsidRPr="00972808" w:rsidRDefault="00814F52" w:rsidP="00A41B82">
      <w:pPr>
        <w:pStyle w:val="SRTitulek1"/>
      </w:pPr>
      <w:bookmarkStart w:id="149" w:name="_Toc239067885"/>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16</w:t>
      </w:r>
      <w:r w:rsidR="00391DA8" w:rsidRPr="00972808">
        <w:rPr>
          <w:noProof/>
        </w:rPr>
        <w:fldChar w:fldCharType="end"/>
      </w:r>
      <w:r w:rsidRPr="00972808">
        <w:t xml:space="preserve"> </w:t>
      </w:r>
      <w:bookmarkEnd w:id="148"/>
      <w:r w:rsidR="00A41B82" w:rsidRPr="00972808">
        <w:t>Platy a ostatní platby za provedenou práci a počty míst vč. EU a FM</w:t>
      </w:r>
      <w:bookmarkEnd w:id="149"/>
    </w:p>
    <w:p w14:paraId="06C87F2B" w14:textId="68255681" w:rsidR="00554EA4" w:rsidRPr="00972808" w:rsidRDefault="00A41B82" w:rsidP="00DE314B">
      <w:pPr>
        <w:pStyle w:val="SRTextnomal"/>
      </w:pPr>
      <w:r w:rsidRPr="00972808">
        <w:rPr>
          <w:noProof/>
        </w:rPr>
        <w:drawing>
          <wp:inline distT="0" distB="0" distL="0" distR="0" wp14:anchorId="41E8981F" wp14:editId="7206D4B4">
            <wp:extent cx="6120130" cy="790511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7905115"/>
                    </a:xfrm>
                    <a:prstGeom prst="rect">
                      <a:avLst/>
                    </a:prstGeom>
                    <a:noFill/>
                    <a:ln>
                      <a:noFill/>
                    </a:ln>
                  </pic:spPr>
                </pic:pic>
              </a:graphicData>
            </a:graphic>
          </wp:inline>
        </w:drawing>
      </w:r>
    </w:p>
    <w:p w14:paraId="54C34B9E" w14:textId="77777777" w:rsidR="00F755CD" w:rsidRPr="00972808" w:rsidRDefault="00F755CD" w:rsidP="00BD617C">
      <w:pPr>
        <w:sectPr w:rsidR="00F755CD" w:rsidRPr="00972808" w:rsidSect="009E08ED">
          <w:type w:val="continuous"/>
          <w:pgSz w:w="11906" w:h="16838" w:code="9"/>
          <w:pgMar w:top="1134" w:right="1134" w:bottom="1134" w:left="1134" w:header="709" w:footer="709" w:gutter="0"/>
          <w:cols w:space="709"/>
          <w:docGrid w:linePitch="360"/>
        </w:sectPr>
      </w:pPr>
    </w:p>
    <w:p w14:paraId="235A7A98" w14:textId="77777777" w:rsidR="00A41B82" w:rsidRPr="00972808" w:rsidRDefault="00A41B82" w:rsidP="00A41B82">
      <w:pPr>
        <w:pStyle w:val="SRTextnomal"/>
        <w:rPr>
          <w:rFonts w:eastAsia="Calibri"/>
        </w:rPr>
      </w:pPr>
      <w:r w:rsidRPr="00972808">
        <w:rPr>
          <w:rFonts w:eastAsia="Calibri"/>
        </w:rPr>
        <w:t>Podrobnější přehled v rozdělení na administrativní a ostatní personální kapacity a v členění podle jednotlivých rozpočtových kapitol je uveden v tabulkové části materiálu.</w:t>
      </w:r>
    </w:p>
    <w:p w14:paraId="04EBC474" w14:textId="447F244B" w:rsidR="003F6561" w:rsidRPr="00972808" w:rsidRDefault="00A41B82" w:rsidP="00AD317C">
      <w:pPr>
        <w:pStyle w:val="SRNadpis3"/>
      </w:pPr>
      <w:bookmarkStart w:id="150" w:name="_Toc229043323"/>
      <w:bookmarkStart w:id="151" w:name="_Toc239067839"/>
      <w:r w:rsidRPr="00972808">
        <w:lastRenderedPageBreak/>
        <w:t>Průměrné platy a průměrné peněžní příjmy</w:t>
      </w:r>
      <w:bookmarkEnd w:id="150"/>
      <w:bookmarkEnd w:id="151"/>
    </w:p>
    <w:p w14:paraId="72C35F25" w14:textId="01D6C8C6" w:rsidR="00A41B82" w:rsidRPr="00972808" w:rsidRDefault="00A41B82" w:rsidP="00A41B82">
      <w:pPr>
        <w:pStyle w:val="SRTextnomal"/>
      </w:pPr>
      <w:bookmarkStart w:id="152" w:name="_Toc80264017"/>
      <w:r w:rsidRPr="00972808">
        <w:t>Průměrné platy/peněžní příjmy jednotlivých kategorií zaměstnanců hrazených ze státního rozpočtu v období let 2022</w:t>
      </w:r>
      <w:r w:rsidR="00E57C9F" w:rsidRPr="00972808">
        <w:noBreakHyphen/>
      </w:r>
      <w:r w:rsidRPr="00972808">
        <w:t xml:space="preserve">2027 vykazují trend setrvalého růstu napříč sledovanými skupinami. </w:t>
      </w:r>
    </w:p>
    <w:p w14:paraId="4C260F8B" w14:textId="77777777" w:rsidR="00A41B82" w:rsidRPr="00972808" w:rsidRDefault="00A41B82" w:rsidP="00A41B82">
      <w:pPr>
        <w:pStyle w:val="SRTextnomal"/>
        <w:rPr>
          <w:rFonts w:eastAsia="Calibri"/>
        </w:rPr>
      </w:pPr>
      <w:r w:rsidRPr="00972808">
        <w:rPr>
          <w:rFonts w:eastAsia="Calibri"/>
        </w:rPr>
        <w:t xml:space="preserve">Meziroční vývoj v této oblasti je ovlivněn řadou faktorů, které jsou blíže popsány v kapitolách výše. Jistou měrou se na vývoji průměrných platů a průměrných peněžních příjmů v jednotlivých typech organizací a mezi kategoriemi zaměstnanců podílí i vnitřní přesuny prostředků a další operace na základě požadavků resortů při přípravě rozpočtu či úpravy v oblasti projektových míst (rozpočtování s ohledem na využitelnost rezerv kumulovaných v nárocích z nespotřebovaných výdajů). </w:t>
      </w:r>
    </w:p>
    <w:p w14:paraId="6B2F2022" w14:textId="77777777" w:rsidR="00A41B82" w:rsidRPr="00972808" w:rsidRDefault="00A41B82" w:rsidP="00A41B82">
      <w:pPr>
        <w:pStyle w:val="SRTextnomal"/>
        <w:rPr>
          <w:rFonts w:eastAsia="Calibri"/>
        </w:rPr>
      </w:pPr>
      <w:r w:rsidRPr="00972808">
        <w:rPr>
          <w:rFonts w:eastAsia="Calibri"/>
        </w:rPr>
        <w:t>I nadále je v platnosti trend nastolený v posledních letech, kdy státní organizace mohou v rámci optimalizace a zefektivňování svých činností a procesů přistoupit ke snižování počtu míst, přičemž prostředky na platy rozpočtované k těmto místům jim zůstávají i nadále k dispozici. Tento přístup umožňuje lépe finančně ohodnotit zbývající zaměstnance a současně zvýšit rozpočtovaný průměrný plat organizace.</w:t>
      </w:r>
    </w:p>
    <w:p w14:paraId="09F0B3FD" w14:textId="77777777" w:rsidR="00A41B82" w:rsidRPr="00972808" w:rsidRDefault="00A41B82" w:rsidP="00A41B82">
      <w:pPr>
        <w:pStyle w:val="SRTextnomal"/>
      </w:pPr>
      <w:r w:rsidRPr="00972808">
        <w:t xml:space="preserve">Dále je třeba upozornit na fakt, že ne všechny složky peněžního příjmu některých skupin zaměstnanců státu jsou zároveň součástí platu. Jedná se např. o stabilizační příspěvek vojákům či příspěvek vojákům na bydlení. Dále, u vojáků z povolání a příslušníků bezpečnostních sborů zvyšují průměrný peněžní příjem peněžité dary (tzv. kázeňské odměny). </w:t>
      </w:r>
    </w:p>
    <w:p w14:paraId="3405B3DA" w14:textId="77777777" w:rsidR="00A41B82" w:rsidRPr="00972808" w:rsidRDefault="00A41B82" w:rsidP="00A41B82">
      <w:pPr>
        <w:pStyle w:val="SRTextnomal"/>
      </w:pPr>
      <w:r w:rsidRPr="00972808">
        <w:t xml:space="preserve">Vývoj rozpočtovaných průměrných platů/peněžních příjmů jednotlivých kategorií zaměstnanců od roku 2022, včetně vývoje průměrné mzdy v národním hospodářství či odhadu výdělkové úrovně zaměstnanců krajů, obcí a hl. m. Prahy pro rok 2027 (tj. v další oblasti veřejné sféry, která však není regulována vládou) znázorňuje graf níže. </w:t>
      </w:r>
    </w:p>
    <w:p w14:paraId="1B7F47AB" w14:textId="77777777" w:rsidR="00A41B82" w:rsidRPr="00972808" w:rsidRDefault="00A41B82" w:rsidP="00A41B82">
      <w:pPr>
        <w:pStyle w:val="SRTextnomal"/>
        <w:sectPr w:rsidR="00A41B82" w:rsidRPr="00972808" w:rsidSect="009E08ED">
          <w:type w:val="continuous"/>
          <w:pgSz w:w="11906" w:h="16838" w:code="9"/>
          <w:pgMar w:top="1134" w:right="1134" w:bottom="1134" w:left="1134" w:header="709" w:footer="709" w:gutter="0"/>
          <w:cols w:space="397"/>
          <w:docGrid w:linePitch="360"/>
        </w:sectPr>
      </w:pPr>
    </w:p>
    <w:p w14:paraId="7235994B" w14:textId="77777777" w:rsidR="00A41B82" w:rsidRPr="00972808" w:rsidRDefault="00A41B82" w:rsidP="00A41B82">
      <w:pPr>
        <w:pStyle w:val="SRTextnomal"/>
      </w:pPr>
    </w:p>
    <w:p w14:paraId="0CF4467E" w14:textId="60A74489" w:rsidR="00BA1482" w:rsidRPr="00972808" w:rsidRDefault="00BA1482" w:rsidP="00BA1482">
      <w:pPr>
        <w:pStyle w:val="SRTitulek1"/>
      </w:pPr>
      <w:bookmarkStart w:id="153" w:name="_Toc239067926"/>
      <w:bookmarkEnd w:id="152"/>
      <w:r w:rsidRPr="00972808">
        <w:t xml:space="preserve">Graf </w:t>
      </w:r>
      <w:r w:rsidR="00BF4932" w:rsidRPr="00972808">
        <w:fldChar w:fldCharType="begin"/>
      </w:r>
      <w:r w:rsidR="00BF4932" w:rsidRPr="00972808">
        <w:instrText xml:space="preserve"> SEQ Graf \* ARABIC </w:instrText>
      </w:r>
      <w:r w:rsidR="00BF4932" w:rsidRPr="00972808">
        <w:fldChar w:fldCharType="separate"/>
      </w:r>
      <w:r w:rsidR="00344480">
        <w:rPr>
          <w:noProof/>
        </w:rPr>
        <w:t>17</w:t>
      </w:r>
      <w:r w:rsidR="00BF4932" w:rsidRPr="00972808">
        <w:fldChar w:fldCharType="end"/>
      </w:r>
      <w:r w:rsidRPr="00972808">
        <w:t xml:space="preserve"> </w:t>
      </w:r>
      <w:r w:rsidR="00A41B82" w:rsidRPr="00972808">
        <w:t xml:space="preserve">Průměrné rozpočtované platy a průměrné rozpočtované peněžní příjmy vybraných kategorií zaměstnanců </w:t>
      </w:r>
      <w:r w:rsidR="00C1649B" w:rsidRPr="00972808">
        <w:t xml:space="preserve">(zahrnuta valorizace u učitelů a částečně vojáků) </w:t>
      </w:r>
      <w:r w:rsidR="00A41B82" w:rsidRPr="00972808">
        <w:t>– vývoj od roku 2022</w:t>
      </w:r>
      <w:bookmarkEnd w:id="153"/>
    </w:p>
    <w:p w14:paraId="2D90F22F" w14:textId="6C6C4D39" w:rsidR="00187337" w:rsidRPr="00972808" w:rsidRDefault="00C1649B" w:rsidP="00C1649B">
      <w:pPr>
        <w:pStyle w:val="SRTextnomal"/>
        <w:jc w:val="center"/>
      </w:pPr>
      <w:r w:rsidRPr="00972808">
        <w:rPr>
          <w:noProof/>
        </w:rPr>
        <w:drawing>
          <wp:inline distT="0" distB="0" distL="0" distR="0" wp14:anchorId="2130A8A7" wp14:editId="521713AB">
            <wp:extent cx="8054850" cy="5335573"/>
            <wp:effectExtent l="0" t="0" r="381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085286" cy="5355734"/>
                    </a:xfrm>
                    <a:prstGeom prst="rect">
                      <a:avLst/>
                    </a:prstGeom>
                    <a:noFill/>
                  </pic:spPr>
                </pic:pic>
              </a:graphicData>
            </a:graphic>
          </wp:inline>
        </w:drawing>
      </w:r>
    </w:p>
    <w:p w14:paraId="2468C449" w14:textId="77777777" w:rsidR="00E92F05" w:rsidRPr="00972808" w:rsidRDefault="00E92F05" w:rsidP="00DE314B">
      <w:pPr>
        <w:pStyle w:val="SRTextnomal"/>
        <w:sectPr w:rsidR="00E92F05" w:rsidRPr="00972808" w:rsidSect="00A41B82">
          <w:pgSz w:w="16838" w:h="11906" w:orient="landscape" w:code="9"/>
          <w:pgMar w:top="1134" w:right="1134" w:bottom="1134" w:left="1134" w:header="709" w:footer="709" w:gutter="0"/>
          <w:cols w:space="397"/>
          <w:docGrid w:linePitch="360"/>
        </w:sectPr>
      </w:pPr>
      <w:bookmarkStart w:id="154" w:name="_Toc52369867"/>
      <w:bookmarkStart w:id="155" w:name="_Toc52369875"/>
    </w:p>
    <w:p w14:paraId="623EFB82" w14:textId="77777777" w:rsidR="005711A0" w:rsidRPr="00972808" w:rsidRDefault="005711A0" w:rsidP="00D06E57">
      <w:pPr>
        <w:pStyle w:val="SRNadpis2"/>
      </w:pPr>
      <w:bookmarkStart w:id="156" w:name="_Hlk220397537"/>
      <w:bookmarkStart w:id="157" w:name="_Toc239067840"/>
      <w:r w:rsidRPr="00972808">
        <w:lastRenderedPageBreak/>
        <w:t xml:space="preserve">Běžné </w:t>
      </w:r>
      <w:bookmarkEnd w:id="135"/>
      <w:r w:rsidRPr="00972808">
        <w:t>výdaje</w:t>
      </w:r>
      <w:bookmarkEnd w:id="154"/>
      <w:bookmarkEnd w:id="157"/>
    </w:p>
    <w:p w14:paraId="7872515C" w14:textId="77777777" w:rsidR="00B26249" w:rsidRPr="00972808" w:rsidRDefault="00B26249" w:rsidP="00B26249">
      <w:pPr>
        <w:pStyle w:val="SRTextnomal"/>
      </w:pPr>
      <w:bookmarkStart w:id="158" w:name="_Toc80264008"/>
      <w:r w:rsidRPr="00972808">
        <w:t>Běžné výdaje včetně výdajů krytých příjmy z rozpočtu EU/FM jsou rozpočtovány ve výši 2 288,5 mld. Kč, oproti schválenému rozpočtu na rok 2026 se zvyšují o 123,9 mld. Kč. Z druhového hlediska se běžné výdaje člení na platy a podobné a související výdaje, neinvestiční nákupy, neinvestiční transfery soukromoprávním osobám, veřejnoprávním osobám a fyzickým osobám, neinvestiční transfery do zahraničí, neinvestiční půjčené prostředky, neinvestiční převody Národnímu fondu, výdaje na náhrady za nezpůsobenou újmu a ostatní neinvestiční výdaje.</w:t>
      </w:r>
    </w:p>
    <w:p w14:paraId="4BB903C9" w14:textId="355CD0A6" w:rsidR="005711A0" w:rsidRPr="00972808" w:rsidRDefault="005711A0" w:rsidP="000D440D">
      <w:pPr>
        <w:pStyle w:val="SRTitulek1"/>
        <w:rPr>
          <w:i/>
        </w:rPr>
      </w:pPr>
      <w:bookmarkStart w:id="159" w:name="_Toc239067886"/>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17</w:t>
      </w:r>
      <w:r w:rsidR="00391DA8" w:rsidRPr="00972808">
        <w:rPr>
          <w:noProof/>
        </w:rPr>
        <w:fldChar w:fldCharType="end"/>
      </w:r>
      <w:r w:rsidRPr="00972808">
        <w:t xml:space="preserve"> Běžné výdaje </w:t>
      </w:r>
      <w:r w:rsidRPr="00972808">
        <w:rPr>
          <w:i/>
        </w:rPr>
        <w:t>(v mld. Kč)</w:t>
      </w:r>
      <w:bookmarkEnd w:id="158"/>
      <w:bookmarkEnd w:id="159"/>
    </w:p>
    <w:p w14:paraId="0D8C2DC5" w14:textId="4B3417C4" w:rsidR="00190920" w:rsidRPr="00972808" w:rsidRDefault="00B26249" w:rsidP="005711A0">
      <w:r w:rsidRPr="00972808">
        <w:rPr>
          <w:noProof/>
        </w:rPr>
        <w:drawing>
          <wp:inline distT="0" distB="0" distL="0" distR="0" wp14:anchorId="3B0CDAC4" wp14:editId="05647F09">
            <wp:extent cx="6120130" cy="2748915"/>
            <wp:effectExtent l="0" t="0" r="0" b="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748915"/>
                    </a:xfrm>
                    <a:prstGeom prst="rect">
                      <a:avLst/>
                    </a:prstGeom>
                    <a:noFill/>
                    <a:ln>
                      <a:noFill/>
                    </a:ln>
                  </pic:spPr>
                </pic:pic>
              </a:graphicData>
            </a:graphic>
          </wp:inline>
        </w:drawing>
      </w:r>
    </w:p>
    <w:p w14:paraId="06CEE3D4" w14:textId="77777777" w:rsidR="00B26249" w:rsidRPr="00972808" w:rsidRDefault="00B26249" w:rsidP="00B26249">
      <w:pPr>
        <w:pStyle w:val="SRTextnomal"/>
      </w:pPr>
      <w:bookmarkStart w:id="160" w:name="_Toc52369868"/>
      <w:r w:rsidRPr="00972808">
        <w:t xml:space="preserve">Výdaje na </w:t>
      </w:r>
      <w:r w:rsidRPr="00972808">
        <w:rPr>
          <w:b/>
        </w:rPr>
        <w:t>platy a podobné a související výdaje</w:t>
      </w:r>
      <w:r w:rsidRPr="00972808">
        <w:t xml:space="preserve"> organizačních složek státu včetně povinného zákonného pojistného placeného zaměstnavatelem dosahují objemu 204 mld. Kč. Nejsou zde zahrnuty výdaje na platy a ostatní osobní náklady ve státní příspěvkových organizacích, které jsou součástí transferů veřejnoprávním osobám.</w:t>
      </w:r>
    </w:p>
    <w:p w14:paraId="4A0702F9" w14:textId="77777777" w:rsidR="00B26249" w:rsidRPr="00972808" w:rsidRDefault="00B26249" w:rsidP="00B26249">
      <w:r w:rsidRPr="00972808">
        <w:rPr>
          <w:b/>
        </w:rPr>
        <w:t>Neinvestiční nákupy a související výdaje</w:t>
      </w:r>
      <w:r w:rsidRPr="00972808">
        <w:t xml:space="preserve"> se v rozpočtu na rok 2027 zvyšují o 21 mld. Kč oproti schválenému rozpočtu 2026.</w:t>
      </w:r>
    </w:p>
    <w:p w14:paraId="0A09E4D3" w14:textId="30A264CC" w:rsidR="00B26249" w:rsidRPr="00972808" w:rsidRDefault="00B26249" w:rsidP="00B26249">
      <w:pPr>
        <w:pStyle w:val="SRTextnomal"/>
      </w:pPr>
      <w:r w:rsidRPr="00972808">
        <w:rPr>
          <w:b/>
        </w:rPr>
        <w:t>Transfery</w:t>
      </w:r>
      <w:r w:rsidRPr="00972808">
        <w:t xml:space="preserve"> tvoří 78,6 % běžných výdajů státního rozpočtu. Většina celkového objemu (94,5 %) neinvestičních transferů je rozpočtována </w:t>
      </w:r>
      <w:r w:rsidR="00A71B67" w:rsidRPr="00972808">
        <w:t>u</w:t>
      </w:r>
      <w:r w:rsidRPr="00972808">
        <w:t xml:space="preserve"> ministerstev práce a sociálních věcí, školství, mládeže a tělovýchovy, zemědělství, průmyslu a obchodu, dopravy a v kapitole Všeobecná pokladní správa.</w:t>
      </w:r>
    </w:p>
    <w:p w14:paraId="389C2860" w14:textId="77777777" w:rsidR="00B26249" w:rsidRPr="00972808" w:rsidRDefault="00B26249" w:rsidP="00B26249">
      <w:pPr>
        <w:pStyle w:val="SRTextnomal"/>
      </w:pPr>
      <w:r w:rsidRPr="00972808">
        <w:rPr>
          <w:b/>
        </w:rPr>
        <w:t>Neinvestiční transfery soukromoprávním osobám</w:t>
      </w:r>
      <w:r w:rsidRPr="00972808">
        <w:t xml:space="preserve"> jsou zejména součástí rozpočtu ministerstev průmyslu a obchodu, práce a sociálních věcí, školství, mládeže a tělovýchovy, dopravy, zemědělství a kultury a kapitol Národní sportovní agentura a Technologická agentura. Jedná se o transfery prostředků státního rozpočtu podnikatelským subjektům, spolkům, církvím a podobným organizacím. Patří sem mj. příspěvky zaměstnavatelům zaměstnávajícím osoby se zdravotním postižením, podpora úspor energie a obnovitelných zdrojů, podpora soukromých a církevních škol a sportu, výzkumu a vývoje. </w:t>
      </w:r>
    </w:p>
    <w:p w14:paraId="59C5CDC7" w14:textId="77777777" w:rsidR="00B26249" w:rsidRPr="00972808" w:rsidRDefault="00B26249" w:rsidP="00B26249">
      <w:pPr>
        <w:pStyle w:val="SRTextnomal"/>
      </w:pPr>
      <w:r w:rsidRPr="00972808">
        <w:rPr>
          <w:b/>
        </w:rPr>
        <w:t>Neinvestiční transfery veřejnoprávním osobám</w:t>
      </w:r>
      <w:r w:rsidRPr="00972808">
        <w:t xml:space="preserve"> sestávají:</w:t>
      </w:r>
    </w:p>
    <w:p w14:paraId="14744282" w14:textId="77777777" w:rsidR="00B26249" w:rsidRPr="00972808" w:rsidRDefault="00B26249" w:rsidP="00344F6B">
      <w:pPr>
        <w:pStyle w:val="SROdrka1"/>
      </w:pPr>
      <w:r w:rsidRPr="00972808">
        <w:t>ze 43,5 % z transferů územním samosprávám:</w:t>
      </w:r>
    </w:p>
    <w:p w14:paraId="4B282854" w14:textId="70046A00" w:rsidR="00B26249" w:rsidRPr="00972808" w:rsidRDefault="00B26249" w:rsidP="00B26249">
      <w:pPr>
        <w:pStyle w:val="SROdrka2"/>
      </w:pPr>
      <w:r w:rsidRPr="00972808">
        <w:t xml:space="preserve">z kapitoly Ministerstvo školství, mládeže a tělovýchovy – zejména na platy pro mateřské, základní a střední školy, </w:t>
      </w:r>
    </w:p>
    <w:p w14:paraId="5E9FF3B5" w14:textId="77777777" w:rsidR="00B26249" w:rsidRPr="00972808" w:rsidRDefault="00B26249" w:rsidP="00B26249">
      <w:pPr>
        <w:pStyle w:val="SROdrka2"/>
      </w:pPr>
      <w:r w:rsidRPr="00972808">
        <w:t xml:space="preserve">z kapitoly Ministerstvo práce a sociálních věcí na služby a činnosti v oblasti sociální péče, </w:t>
      </w:r>
    </w:p>
    <w:p w14:paraId="395554C0" w14:textId="77777777" w:rsidR="00B26249" w:rsidRPr="00972808" w:rsidRDefault="00B26249" w:rsidP="00B26249">
      <w:pPr>
        <w:pStyle w:val="SROdrka2"/>
      </w:pPr>
      <w:r w:rsidRPr="00972808">
        <w:t>z kapitoly Všeobecná pokladní správa – na výdaje v rámci finančních vztahů k rozpočtům krajů a obcí a k rozpočtu hl. m. Prahy a na zajištění voleb;</w:t>
      </w:r>
    </w:p>
    <w:p w14:paraId="19A1161B" w14:textId="77777777" w:rsidR="00B26249" w:rsidRPr="00972808" w:rsidRDefault="00B26249" w:rsidP="00B26249">
      <w:pPr>
        <w:pStyle w:val="SROdrka2"/>
      </w:pPr>
      <w:r w:rsidRPr="00972808">
        <w:t>z kapitoly Ministerstvo dopravy na dopravní obslužnost;</w:t>
      </w:r>
    </w:p>
    <w:p w14:paraId="53D9C0CE" w14:textId="77777777" w:rsidR="00B26249" w:rsidRPr="00972808" w:rsidRDefault="00B26249" w:rsidP="00B26249">
      <w:pPr>
        <w:pStyle w:val="SROdrka2"/>
      </w:pPr>
      <w:r w:rsidRPr="00972808">
        <w:t>z kapitoly Ministerstvo kultury na zachování a obnovu kulturních památek a na divadelní, hudební a knihovnické činnosti a na muzea a galerie.</w:t>
      </w:r>
    </w:p>
    <w:p w14:paraId="63C6851C" w14:textId="77777777" w:rsidR="00B26249" w:rsidRPr="00972808" w:rsidRDefault="00B26249" w:rsidP="00344F6B">
      <w:pPr>
        <w:pStyle w:val="SROdrka1"/>
      </w:pPr>
      <w:r w:rsidRPr="00972808">
        <w:t>z 39,5 % z transferů veřejným rozpočtům ústřední úrovně (největší položkou je platba státu na pojistné zdravotního pojištění z kapitoly Všeobecná pokladní správa a dále transfery státním fondům z kapitol Ministerstvo zemědělství a Ministerstvo dopravy);</w:t>
      </w:r>
    </w:p>
    <w:p w14:paraId="51ED810D" w14:textId="77777777" w:rsidR="00B26249" w:rsidRPr="00972808" w:rsidRDefault="00B26249" w:rsidP="00344F6B">
      <w:pPr>
        <w:pStyle w:val="SROdrka1"/>
      </w:pPr>
      <w:r w:rsidRPr="00972808">
        <w:lastRenderedPageBreak/>
        <w:t>ze 17,0 % z transferů příspěvkovým a podobným organizacím, které zahrnují mj. platy a ostatní osobní náklady ve státních příspěvkových organizacích vč. povinného pojistného placeného zaměstnavatelem (nejvyšších hodnot dosahují v rozpočtu Ministerstva školství, mládeže a tělovýchovy, Ministerstva kultury, Akademie věd České republiky, Grantové agentury ČR a Technologické agentury ČR a ministerstev obrany a zdravotnictví).</w:t>
      </w:r>
    </w:p>
    <w:p w14:paraId="1F7CAF8F" w14:textId="77777777" w:rsidR="00B26249" w:rsidRPr="00972808" w:rsidRDefault="00B26249" w:rsidP="00B26249">
      <w:pPr>
        <w:pStyle w:val="SRTextnomal"/>
      </w:pPr>
      <w:r w:rsidRPr="00972808">
        <w:rPr>
          <w:b/>
          <w:bCs/>
        </w:rPr>
        <w:t>N</w:t>
      </w:r>
      <w:r w:rsidRPr="00972808">
        <w:rPr>
          <w:b/>
        </w:rPr>
        <w:t xml:space="preserve">einvestiční transfery fyzickým osobám </w:t>
      </w:r>
      <w:r w:rsidRPr="00972808">
        <w:t>činí 43,3 % celkového objemu běžných výdajů a 95 % z nich je rozpočtováno v kapitole Ministerstvo práce a sociálních věcí (na důchody, příspěvky na péči, nemocenské a ostatní dávky a podpory v sociálním zabezpečení).</w:t>
      </w:r>
    </w:p>
    <w:p w14:paraId="0D67C0A4" w14:textId="77777777" w:rsidR="00B26249" w:rsidRPr="00972808" w:rsidRDefault="00B26249" w:rsidP="00B26249">
      <w:pPr>
        <w:pStyle w:val="SRTextnomal"/>
      </w:pPr>
      <w:r w:rsidRPr="00972808">
        <w:t>Významných objemů dosahují transfery fyzickým osobám i v kapitolách Všeobecná pokladní správa (výdaje na podporu stavebního spoření a státní příspěvky na penzijní připojištění), Ministerstvo obrany, Ministerstvo vnitra a Ministerstvo spravedlnosti (starobní důchody a výsluhové příspěvky, stabilizační a služební příspěvky).</w:t>
      </w:r>
    </w:p>
    <w:p w14:paraId="7BC704D8" w14:textId="77777777" w:rsidR="00DD4A4E" w:rsidRPr="00972808" w:rsidRDefault="00B26249" w:rsidP="00DD4A4E">
      <w:pPr>
        <w:pStyle w:val="SRTextnomal"/>
      </w:pPr>
      <w:r w:rsidRPr="00972808">
        <w:rPr>
          <w:b/>
        </w:rPr>
        <w:t>Neinvestiční transfery do zahraničí</w:t>
      </w:r>
      <w:r w:rsidRPr="00972808">
        <w:t xml:space="preserve"> jsou rozpočtovány především v kapitole Všeobecná pokladní správa, zejména výdaje na odvody vlastních zdrojů Evropské unie do rozpočtu Evropské unie. Dále jsou rozpočtovány příspěvky mezinárodním organizacím a zahraniční pomoc včetně pomoci humanitární.</w:t>
      </w:r>
      <w:r w:rsidR="00DD4A4E" w:rsidRPr="00972808">
        <w:t xml:space="preserve"> Významný nárůst vyplývá ze zvýšených objemů odvodů vlastních zdrojů EU do rozpočtu EU (zvýšení v kapitole Všeobecná pokladní správa o 14,3 mld. Kč) a z očekávaných plateb mezinárodním vládním organizacím a nadnárodním orgánům především z kapitol ministerstev obrany a průmyslu a obchodu (zvýšení o 3,1 mld. Kč). </w:t>
      </w:r>
    </w:p>
    <w:p w14:paraId="2416F066" w14:textId="77777777" w:rsidR="002A064C" w:rsidRPr="00972808" w:rsidRDefault="002A064C" w:rsidP="002A064C">
      <w:pPr>
        <w:pStyle w:val="SRNadpis3"/>
      </w:pPr>
      <w:bookmarkStart w:id="161" w:name="_Toc239067841"/>
      <w:r w:rsidRPr="00972808">
        <w:t>Běžné výdaje na provoz organizačních složek státu</w:t>
      </w:r>
      <w:bookmarkEnd w:id="161"/>
    </w:p>
    <w:bookmarkEnd w:id="160"/>
    <w:p w14:paraId="76D99F5B" w14:textId="77777777" w:rsidR="00B26249" w:rsidRPr="00972808" w:rsidRDefault="00B26249" w:rsidP="00B26249">
      <w:pPr>
        <w:pStyle w:val="SRTextnomal"/>
      </w:pPr>
      <w:r w:rsidRPr="00972808">
        <w:t>Výdaje na provoz organizačních složek státu (dále jen „užší běžné výdaje“) jsou součástí neinvestičních nákupů a ostatních neinvestičních výdajů státního rozpočtu. Jedná se o nákupy materiálu, vody, paliv, energie a služeb, nájemné, cestovné a ostatní nákupy a výdaje jinde nezařazené. V rozpočtu na rok 2027 dosahují tyto výdaje (bez kapitol Všeobecná pokladní správa, Operace státních finančních aktiv a Státní dluh) objemu 106,6 mld. Kč a jejich podíl na celkových běžných výdajích činí 4,7 %. Objemově nejvýznamnější jsou dlouhodobě nákupy služeb.</w:t>
      </w:r>
    </w:p>
    <w:p w14:paraId="640DE69C" w14:textId="4D3B1E09" w:rsidR="005711A0" w:rsidRPr="00972808" w:rsidRDefault="005711A0" w:rsidP="000D440D">
      <w:pPr>
        <w:pStyle w:val="SRTitulek1"/>
      </w:pPr>
      <w:bookmarkStart w:id="162" w:name="_Toc239067927"/>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18</w:t>
      </w:r>
      <w:r w:rsidR="00391DA8" w:rsidRPr="00972808">
        <w:rPr>
          <w:noProof/>
        </w:rPr>
        <w:fldChar w:fldCharType="end"/>
      </w:r>
      <w:r w:rsidRPr="00972808">
        <w:t xml:space="preserve"> </w:t>
      </w:r>
      <w:r w:rsidR="00C83ED1" w:rsidRPr="00972808">
        <w:t>Druhová struktura užších běžných výdajů ve státním rozpočtu v letech 202</w:t>
      </w:r>
      <w:r w:rsidR="00B26249" w:rsidRPr="00972808">
        <w:t>2</w:t>
      </w:r>
      <w:r w:rsidR="00C83ED1" w:rsidRPr="00972808">
        <w:t xml:space="preserve"> až 202</w:t>
      </w:r>
      <w:r w:rsidR="00B26249" w:rsidRPr="00972808">
        <w:t>7</w:t>
      </w:r>
      <w:r w:rsidR="00C83ED1" w:rsidRPr="00972808">
        <w:t xml:space="preserve"> </w:t>
      </w:r>
      <w:r w:rsidR="00C83ED1" w:rsidRPr="00972808">
        <w:rPr>
          <w:i/>
          <w:iCs/>
        </w:rPr>
        <w:t>(v % z užších běžných výdajů celkem)</w:t>
      </w:r>
      <w:bookmarkEnd w:id="162"/>
    </w:p>
    <w:p w14:paraId="11B4EDFA" w14:textId="1D0AF424" w:rsidR="00344C5A" w:rsidRPr="00972808" w:rsidRDefault="00B26249" w:rsidP="00DE314B">
      <w:pPr>
        <w:pStyle w:val="SRTextnomal"/>
      </w:pPr>
      <w:r w:rsidRPr="00972808">
        <w:rPr>
          <w:noProof/>
        </w:rPr>
        <w:drawing>
          <wp:inline distT="0" distB="0" distL="0" distR="0" wp14:anchorId="01838A98" wp14:editId="3DBCF702">
            <wp:extent cx="6084717" cy="3353616"/>
            <wp:effectExtent l="0" t="0" r="0"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8042" cy="3360960"/>
                    </a:xfrm>
                    <a:prstGeom prst="rect">
                      <a:avLst/>
                    </a:prstGeom>
                    <a:noFill/>
                  </pic:spPr>
                </pic:pic>
              </a:graphicData>
            </a:graphic>
          </wp:inline>
        </w:drawing>
      </w:r>
    </w:p>
    <w:p w14:paraId="26F00753" w14:textId="77777777" w:rsidR="00C83ED1" w:rsidRPr="00972808" w:rsidRDefault="00C83ED1" w:rsidP="00BB2318">
      <w:pPr>
        <w:pStyle w:val="SRTextnomal"/>
      </w:pPr>
    </w:p>
    <w:p w14:paraId="31266489" w14:textId="2ADA643A" w:rsidR="002A064C" w:rsidRPr="00972808" w:rsidRDefault="00B26249" w:rsidP="002A064C">
      <w:pPr>
        <w:pStyle w:val="SRTextnomal"/>
      </w:pPr>
      <w:bookmarkStart w:id="163" w:name="_Toc80264009"/>
      <w:bookmarkStart w:id="164" w:name="_Hlk221020764"/>
      <w:r w:rsidRPr="00972808">
        <w:t>Oproti rozpočtu na rok 2026 se užší běžné výdaje zvyšují o 5,1 %, méně než celkové běžné výdaje. Nejvyšší dynamiku vykazují výdaje na tzv. ostatní nákupy, naopak klesají výdaje na nákup materiálu a na nákup vody, paliv a energie.</w:t>
      </w:r>
    </w:p>
    <w:p w14:paraId="422DDFEB" w14:textId="44D25CB9" w:rsidR="005711A0" w:rsidRPr="00972808" w:rsidRDefault="005711A0" w:rsidP="000D440D">
      <w:pPr>
        <w:pStyle w:val="SRTitulek1"/>
        <w:rPr>
          <w:i/>
        </w:rPr>
      </w:pPr>
      <w:bookmarkStart w:id="165" w:name="_Toc239067887"/>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18</w:t>
      </w:r>
      <w:r w:rsidR="00391DA8" w:rsidRPr="00972808">
        <w:rPr>
          <w:noProof/>
        </w:rPr>
        <w:fldChar w:fldCharType="end"/>
      </w:r>
      <w:r w:rsidRPr="00972808">
        <w:t xml:space="preserve"> Užší běžné výdaje organizačních složek státu v členění dle druhu výdajů </w:t>
      </w:r>
      <w:r w:rsidRPr="00972808">
        <w:rPr>
          <w:i/>
        </w:rPr>
        <w:t>(v mil. Kč)</w:t>
      </w:r>
      <w:bookmarkEnd w:id="163"/>
      <w:bookmarkEnd w:id="165"/>
    </w:p>
    <w:p w14:paraId="74F407EB" w14:textId="299C9053" w:rsidR="00D60C9E" w:rsidRPr="00972808" w:rsidRDefault="00B26249" w:rsidP="00DB1D3D">
      <w:pPr>
        <w:pStyle w:val="SRTextnomal"/>
      </w:pPr>
      <w:r w:rsidRPr="00972808">
        <w:rPr>
          <w:noProof/>
        </w:rPr>
        <w:drawing>
          <wp:inline distT="0" distB="0" distL="0" distR="0" wp14:anchorId="73947FB9" wp14:editId="59E14278">
            <wp:extent cx="6120130" cy="7683500"/>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7683500"/>
                    </a:xfrm>
                    <a:prstGeom prst="rect">
                      <a:avLst/>
                    </a:prstGeom>
                    <a:noFill/>
                    <a:ln>
                      <a:noFill/>
                    </a:ln>
                  </pic:spPr>
                </pic:pic>
              </a:graphicData>
            </a:graphic>
          </wp:inline>
        </w:drawing>
      </w:r>
    </w:p>
    <w:p w14:paraId="658B98BD" w14:textId="77777777" w:rsidR="008C0AC6" w:rsidRPr="00972808" w:rsidRDefault="008C0AC6" w:rsidP="0091364D">
      <w:pPr>
        <w:pStyle w:val="SRTextnomal"/>
        <w:rPr>
          <w:b/>
        </w:rPr>
      </w:pPr>
    </w:p>
    <w:bookmarkEnd w:id="164"/>
    <w:p w14:paraId="0E7D8033" w14:textId="77777777" w:rsidR="00B26249" w:rsidRPr="00972808" w:rsidRDefault="00B26249" w:rsidP="00B26249">
      <w:pPr>
        <w:pStyle w:val="SRTextnomal"/>
      </w:pPr>
      <w:r w:rsidRPr="00972808">
        <w:rPr>
          <w:b/>
        </w:rPr>
        <w:t>Nákupy materiálu</w:t>
      </w:r>
      <w:r w:rsidRPr="00972808">
        <w:t xml:space="preserve"> jsou rozpočtovány ve výši 23,9 mld. Kč, ve srovnání s rokem 2026 klesají o 1,6 %. Nejvýznamnějšími položkami jsou: </w:t>
      </w:r>
    </w:p>
    <w:p w14:paraId="7FABE87C" w14:textId="77777777" w:rsidR="00B26249" w:rsidRPr="00972808" w:rsidRDefault="00B26249" w:rsidP="00344F6B">
      <w:pPr>
        <w:pStyle w:val="SROdrka1"/>
      </w:pPr>
      <w:r w:rsidRPr="00972808">
        <w:t>nákup materiálu jinde nezařazený o celkovém objemu 17 mld. Kč. Nejvyšší výdaje zde rozpočtuje Ministerstvo obrany (13,2 mld. Kč) a Ministerstvo vnitra (2,4 mld. Kč);</w:t>
      </w:r>
    </w:p>
    <w:p w14:paraId="0102D396" w14:textId="77777777" w:rsidR="00B26249" w:rsidRPr="00972808" w:rsidRDefault="00B26249" w:rsidP="00344F6B">
      <w:pPr>
        <w:pStyle w:val="SROdrka1"/>
      </w:pPr>
      <w:r w:rsidRPr="00972808">
        <w:t>léky a zdravotnický materiál s celkovými výdaji 0,6 mld. Kč, z toho 0,5 mld.</w:t>
      </w:r>
      <w:r w:rsidRPr="00972808">
        <w:rPr>
          <w:shd w:val="clear" w:color="auto" w:fill="FFFFFF"/>
        </w:rPr>
        <w:t xml:space="preserve"> Kč rozpočtuje</w:t>
      </w:r>
      <w:r w:rsidRPr="00972808">
        <w:t xml:space="preserve"> Ministerstvo obrany; </w:t>
      </w:r>
    </w:p>
    <w:p w14:paraId="647BE2C1" w14:textId="77777777" w:rsidR="00B26249" w:rsidRPr="00972808" w:rsidRDefault="00B26249" w:rsidP="00344F6B">
      <w:pPr>
        <w:pStyle w:val="SROdrka1"/>
      </w:pPr>
      <w:r w:rsidRPr="00972808">
        <w:lastRenderedPageBreak/>
        <w:t>drobný hmotný dlouhodobý majetek o celkových výdajích 2,2 mld. Kč. Nejvyššího objemu dosahuje tato položka v rozpočtu ministerstev obrany (1,3 mld. Kč) a vnitra (0,3 mld. Kč);</w:t>
      </w:r>
    </w:p>
    <w:p w14:paraId="7FB6E7F8" w14:textId="77777777" w:rsidR="00B26249" w:rsidRPr="00972808" w:rsidRDefault="00B26249" w:rsidP="00344F6B">
      <w:pPr>
        <w:pStyle w:val="SROdrka1"/>
      </w:pPr>
      <w:r w:rsidRPr="00972808">
        <w:t>výdaje na nákup prádla, oděvů, obuvi jsou rozpočtovány v objemu 1,9 mld. Kč. Nejvyšších hodnot dosahují v rozpočtu kapitoly Ministerstvo obrany (1,5 mld. Kč) a Ministerstvo vnitra (0,2 mld. Kč);</w:t>
      </w:r>
    </w:p>
    <w:p w14:paraId="26EE02F1" w14:textId="77777777" w:rsidR="00B26249" w:rsidRPr="00972808" w:rsidRDefault="00B26249" w:rsidP="00344F6B">
      <w:pPr>
        <w:pStyle w:val="SROdrka1"/>
      </w:pPr>
      <w:r w:rsidRPr="00972808">
        <w:t>výdaje na nákup potravin o celkovém objemu 0,9 mld. Kč jsou rozpočtovány především v kapitole Ministerstvo spravedlnosti (0,6 mld. Kč) a Ministerstvo obrany (0,2 mld. Kč);</w:t>
      </w:r>
    </w:p>
    <w:p w14:paraId="13F3961E" w14:textId="77777777" w:rsidR="00B26249" w:rsidRPr="00972808" w:rsidRDefault="00B26249" w:rsidP="00344F6B">
      <w:pPr>
        <w:pStyle w:val="SROdrka1"/>
      </w:pPr>
      <w:r w:rsidRPr="00972808">
        <w:t xml:space="preserve">nákup zboží (za účelem dalšího prodeje) je v objemu 0,8 mld. Kč zahrnut v rozpočtu Správy státních hmotných rezerv. </w:t>
      </w:r>
    </w:p>
    <w:p w14:paraId="02D2CA14" w14:textId="77777777" w:rsidR="00B26249" w:rsidRPr="00972808" w:rsidRDefault="00B26249" w:rsidP="00B26249">
      <w:pPr>
        <w:pStyle w:val="SRTextnomal"/>
      </w:pPr>
      <w:r w:rsidRPr="00972808">
        <w:t>Výdaje na</w:t>
      </w:r>
      <w:r w:rsidRPr="00972808">
        <w:rPr>
          <w:b/>
        </w:rPr>
        <w:t xml:space="preserve"> nákup vody, paliv a energie</w:t>
      </w:r>
      <w:r w:rsidRPr="00972808">
        <w:t xml:space="preserve"> jsou rozpočtovány ve výši 7,4 mld. Kč a oproti schválenému rozpočtu na rok 2026 klesají o 3,6 %. Objemově nejvýznamnější jsou:</w:t>
      </w:r>
    </w:p>
    <w:p w14:paraId="6B9F1830" w14:textId="77777777" w:rsidR="00B26249" w:rsidRPr="00972808" w:rsidRDefault="00B26249" w:rsidP="00344F6B">
      <w:pPr>
        <w:pStyle w:val="SROdrka1"/>
      </w:pPr>
      <w:r w:rsidRPr="00972808">
        <w:t xml:space="preserve">elektrická energie o celkových výdajích 2,7 mld. Kč, nejvyšších hodnot dosahuje v rozpočtu ministerstev obrany (0,8 mld. Kč), vnitra (0,9 mld. Kč) a spravedlnosti (0,3 mld. Kč); </w:t>
      </w:r>
    </w:p>
    <w:p w14:paraId="516FC8BF" w14:textId="77777777" w:rsidR="00B26249" w:rsidRPr="00972808" w:rsidRDefault="00B26249" w:rsidP="00344F6B">
      <w:pPr>
        <w:pStyle w:val="SROdrka1"/>
      </w:pPr>
      <w:r w:rsidRPr="00972808">
        <w:t>pohonné hmoty a maziva o celkových výdajích 1,9 mld. Kč. Nejvyšší výdaje na této položce rozpočtuje Ministerstvo obrany (1,0 mld. Kč) a Ministerstvo vnitra (0,7 mld. Kč);</w:t>
      </w:r>
    </w:p>
    <w:p w14:paraId="48753A1A" w14:textId="77777777" w:rsidR="00B26249" w:rsidRPr="00972808" w:rsidRDefault="00B26249" w:rsidP="00344F6B">
      <w:pPr>
        <w:pStyle w:val="SROdrka1"/>
      </w:pPr>
      <w:r w:rsidRPr="00972808">
        <w:t>plyn o celkových výdajích 0,9 mld. Kč, nejvyšší částky zde rozpočtuje Ministerstvo vnitra (0,3 mld. Kč) a Ministerstvo spravedlnosti (0,2 mld. Kč);</w:t>
      </w:r>
    </w:p>
    <w:p w14:paraId="5442D4CE" w14:textId="77777777" w:rsidR="00B26249" w:rsidRPr="00972808" w:rsidRDefault="00B26249" w:rsidP="00344F6B">
      <w:pPr>
        <w:pStyle w:val="SROdrka1"/>
      </w:pPr>
      <w:r w:rsidRPr="00972808">
        <w:t>teplo o celkových výdajích 0,9 mld. Kč, přičemž nejvíce na tuto položku vydá Ministerstvo vnitra (0,4 mld. Kč);</w:t>
      </w:r>
    </w:p>
    <w:p w14:paraId="22EAC91D" w14:textId="77777777" w:rsidR="00B26249" w:rsidRPr="00972808" w:rsidRDefault="00B26249" w:rsidP="00344F6B">
      <w:pPr>
        <w:pStyle w:val="SROdrka1"/>
      </w:pPr>
      <w:r w:rsidRPr="00972808">
        <w:t>studená voda o celkových výdajích 0,8 mld. Kč. Nejvyšší hodnoty dosahuje tato položka v kapitole Ministerstvo spravedlnosti (0,3 mld. Kč).</w:t>
      </w:r>
    </w:p>
    <w:p w14:paraId="2432350E" w14:textId="77777777" w:rsidR="00B26249" w:rsidRPr="00972808" w:rsidRDefault="00B26249" w:rsidP="00B26249">
      <w:pPr>
        <w:pStyle w:val="SRTextnomal"/>
      </w:pPr>
      <w:r w:rsidRPr="00972808">
        <w:rPr>
          <w:b/>
        </w:rPr>
        <w:t>Výdaje na nákupy služeb</w:t>
      </w:r>
      <w:r w:rsidRPr="00972808">
        <w:t xml:space="preserve"> jsou rozpočtovány v objemu 50,6 mld. Kč, což odpovídá nárůstu těchto výdajů o 1,7 % oproti schválenému rozpočtu na rok 2026. Mezi položkami nákupu služeb dominují následující:</w:t>
      </w:r>
    </w:p>
    <w:p w14:paraId="352A138F" w14:textId="77777777" w:rsidR="00B26249" w:rsidRPr="00972808" w:rsidRDefault="00B26249" w:rsidP="00344F6B">
      <w:pPr>
        <w:pStyle w:val="SROdrka1"/>
      </w:pPr>
      <w:r w:rsidRPr="00972808">
        <w:t xml:space="preserve">nákup ostatních služeb (24 mld. Kč) - nejvyšších hodnot dosahuje u kapitol Ministerstvo vnitra (4,7 mld. Kč), Ministerstvo obrany (7,2 mld. Kč), Ministerstvo práce a sociálních věcí (1,7 mld. Kč), Správa státních hmotných rezerv (3,3 mld. Kč), Ministerstvo zahraničních věcí (0,9 mld. Kč) a Ministerstvo zemědělství (1,6 mld. Kč); </w:t>
      </w:r>
    </w:p>
    <w:p w14:paraId="2A3D14A4" w14:textId="77777777" w:rsidR="00B26249" w:rsidRPr="00972808" w:rsidRDefault="00B26249" w:rsidP="00344F6B">
      <w:pPr>
        <w:pStyle w:val="SROdrka1"/>
      </w:pPr>
      <w:r w:rsidRPr="00972808">
        <w:t>zpracování dat a služby související s informačními a komunikačními technologiemi (celkem 15,2 mld. Kč) - v největších částkách je rozpočtováno u kapitol Ministerstvo vnitra (3,9 mld. Kč), Ministerstvo financí (2,1 mld. Kč), Ministerstvo práce a sociálních věcí (2,7 mld. Kč), Digitální a informační agentura (1 mld. Kč) a Ministerstvo obrany (2,3 mld. Kč);</w:t>
      </w:r>
    </w:p>
    <w:p w14:paraId="044D9A31" w14:textId="77777777" w:rsidR="00B26249" w:rsidRPr="00972808" w:rsidRDefault="00B26249" w:rsidP="00344F6B">
      <w:pPr>
        <w:pStyle w:val="SROdrka1"/>
      </w:pPr>
      <w:r w:rsidRPr="00972808">
        <w:t>nájemné (3,9 mld. Kč) dosahuje nejvyšších hodnot v rozpočtu kapitol Ministerstvo obrany (1,5 mld. Kč), Ministerstvo zahraničních věcí (0,8 mld. Kč) a Ministerstvo vnitra (0,4 mld. Kč);</w:t>
      </w:r>
    </w:p>
    <w:p w14:paraId="30210FA3" w14:textId="77777777" w:rsidR="00B26249" w:rsidRPr="00972808" w:rsidRDefault="00B26249" w:rsidP="00344F6B">
      <w:pPr>
        <w:pStyle w:val="SROdrka1"/>
      </w:pPr>
      <w:r w:rsidRPr="00972808">
        <w:t>výdaje na konzultační, poradenské a právní služby (0,7 mld. Kč) jsou zastoupeny především v kapitole Ministerstvo zemědělství (0,2 mld. Kč) a Ministerstvo obrany (0,1 mld. Kč);</w:t>
      </w:r>
    </w:p>
    <w:p w14:paraId="7F619EC7" w14:textId="77777777" w:rsidR="00B26249" w:rsidRPr="00972808" w:rsidRDefault="00B26249" w:rsidP="00344F6B">
      <w:pPr>
        <w:pStyle w:val="SROdrka1"/>
      </w:pPr>
      <w:r w:rsidRPr="00972808">
        <w:t>poštovní služby (1,6 mld. Kč) s nejvyšším objemem výdajů v kapitolách Ministerstvo práce a sociálních věcí (1,0 mld. Kč) a Ministerstvo spravedlnosti (0,2 mld. Kč);</w:t>
      </w:r>
    </w:p>
    <w:p w14:paraId="5F152BD5" w14:textId="77777777" w:rsidR="00B26249" w:rsidRPr="00972808" w:rsidRDefault="00B26249" w:rsidP="00344F6B">
      <w:pPr>
        <w:pStyle w:val="SROdrka1"/>
      </w:pPr>
      <w:r w:rsidRPr="00972808">
        <w:t>služby elektronických komunikací (2,3 mld. Kč), kde je významný objem výdajů rozpočtován v kapitolách Ministerstvo vnitra (1,1 mld. Kč) a Ministerstvo obrany (0,8 mld. Kč).</w:t>
      </w:r>
    </w:p>
    <w:p w14:paraId="4A3F67D0" w14:textId="77777777" w:rsidR="00B26249" w:rsidRPr="00972808" w:rsidRDefault="00B26249" w:rsidP="00B26249">
      <w:pPr>
        <w:pStyle w:val="SRTextnomal"/>
      </w:pPr>
      <w:r w:rsidRPr="00972808">
        <w:rPr>
          <w:b/>
        </w:rPr>
        <w:t>Ostatní nákupy</w:t>
      </w:r>
      <w:r w:rsidRPr="00972808">
        <w:t xml:space="preserve"> dosahují ve státním rozpočtu celkového objemu 15 mld. Kč, což znamená nárůst o 33,5 % proti roku 2026. Nejvýznamnějšími položkami ostatních nákupů jsou: </w:t>
      </w:r>
    </w:p>
    <w:p w14:paraId="7D7E83CE" w14:textId="77777777" w:rsidR="00B26249" w:rsidRPr="00972808" w:rsidRDefault="00B26249" w:rsidP="00344F6B">
      <w:pPr>
        <w:pStyle w:val="SROdrka1"/>
      </w:pPr>
      <w:r w:rsidRPr="00972808">
        <w:t>výdaje na opravy a udržování, rozpočtované v celkové výši 11,5 mld. Kč; v největších objemech jsou zastoupeny v rozpočtových kapitolách Ministerstvo obrany (9,1 mld. Kč) a Ministerstvo vnitra (1,1 mld. Kč);</w:t>
      </w:r>
    </w:p>
    <w:p w14:paraId="79936F97" w14:textId="77777777" w:rsidR="00B26249" w:rsidRPr="00972808" w:rsidRDefault="00B26249" w:rsidP="00344F6B">
      <w:pPr>
        <w:pStyle w:val="SROdrka1"/>
      </w:pPr>
      <w:r w:rsidRPr="00972808">
        <w:t xml:space="preserve">cestovné, které činí celkem 2,7 mld. Kč. Nejvyšší částku na této položce rozpočtuje Ministerstvo obrany (1,6 mld. Kč). </w:t>
      </w:r>
    </w:p>
    <w:p w14:paraId="282CFA81" w14:textId="77777777" w:rsidR="00B26249" w:rsidRPr="00972808" w:rsidRDefault="00B26249" w:rsidP="00B26249">
      <w:pPr>
        <w:pStyle w:val="SRTextnomal"/>
      </w:pPr>
      <w:r w:rsidRPr="00972808">
        <w:rPr>
          <w:b/>
        </w:rPr>
        <w:t>Ostatní neinvestiční výdaje</w:t>
      </w:r>
      <w:r w:rsidRPr="00972808">
        <w:t xml:space="preserve"> jsou rozpočtovány v objemu 9,7 mld. Kč a stoupají o 15 % oproti schválenému rozpočtu na rok 2026. Jedná se především o nespecifikované rezervy a o ostatní neinvestiční výdaje jinde nezařazené, kde nejvyšší hodnoty dosahuje Ministerstvo obrany.</w:t>
      </w:r>
    </w:p>
    <w:p w14:paraId="6092EA13" w14:textId="77777777" w:rsidR="00B26249" w:rsidRPr="00972808" w:rsidRDefault="00B26249" w:rsidP="00B26249">
      <w:pPr>
        <w:pStyle w:val="SRTextnomal"/>
      </w:pPr>
    </w:p>
    <w:p w14:paraId="7F2AB21E" w14:textId="77777777" w:rsidR="00B26249" w:rsidRPr="00972808" w:rsidRDefault="00B26249" w:rsidP="00177E3B">
      <w:pPr>
        <w:pStyle w:val="SRTextnomal"/>
      </w:pPr>
      <w:r w:rsidRPr="00972808">
        <w:t xml:space="preserve">Z hlediska odpovědnosti jednotlivých správců kapitol má největší podíl na čerpání užších běžných výdajů Ministerstvo obrany, dále pak Ministerstvo vnitra, Ministerstvo práce a sociálních věcí, Ministerstvo financí a Správa státních hmotných rezerv. </w:t>
      </w:r>
    </w:p>
    <w:p w14:paraId="513D425E" w14:textId="5476AC6C" w:rsidR="005711A0" w:rsidRPr="00972808" w:rsidRDefault="005711A0" w:rsidP="000D440D">
      <w:pPr>
        <w:pStyle w:val="SRTitulek1"/>
        <w:rPr>
          <w:i/>
        </w:rPr>
      </w:pPr>
      <w:bookmarkStart w:id="166" w:name="_Toc239067928"/>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19</w:t>
      </w:r>
      <w:r w:rsidR="00391DA8" w:rsidRPr="00972808">
        <w:rPr>
          <w:noProof/>
        </w:rPr>
        <w:fldChar w:fldCharType="end"/>
      </w:r>
      <w:r w:rsidRPr="00972808">
        <w:t xml:space="preserve"> </w:t>
      </w:r>
      <w:r w:rsidR="003961C3" w:rsidRPr="00972808">
        <w:t>Podíl jednotlivých kapitol na celkovém objemu užších běžných výdajů v letech 202</w:t>
      </w:r>
      <w:r w:rsidR="00B26249" w:rsidRPr="00972808">
        <w:t>2</w:t>
      </w:r>
      <w:r w:rsidR="003961C3" w:rsidRPr="00972808">
        <w:t xml:space="preserve"> až 202</w:t>
      </w:r>
      <w:r w:rsidR="00B26249" w:rsidRPr="00972808">
        <w:t>7</w:t>
      </w:r>
      <w:r w:rsidR="003961C3" w:rsidRPr="00972808">
        <w:rPr>
          <w:i/>
          <w:iCs/>
        </w:rPr>
        <w:t xml:space="preserve"> (v % z celkového objemu užších běžných výdajů)</w:t>
      </w:r>
      <w:bookmarkEnd w:id="166"/>
    </w:p>
    <w:p w14:paraId="36B56B71" w14:textId="0E156547" w:rsidR="005E1E86" w:rsidRPr="00972808" w:rsidRDefault="00B26249" w:rsidP="00C83ED1">
      <w:pPr>
        <w:pStyle w:val="SRTextnomal"/>
        <w:rPr>
          <w:noProof/>
        </w:rPr>
      </w:pPr>
      <w:r w:rsidRPr="00972808">
        <w:rPr>
          <w:noProof/>
        </w:rPr>
        <w:drawing>
          <wp:inline distT="0" distB="0" distL="0" distR="0" wp14:anchorId="28215672" wp14:editId="1A9D64C5">
            <wp:extent cx="6138154" cy="3299097"/>
            <wp:effectExtent l="0" t="0" r="0"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49765" cy="3305338"/>
                    </a:xfrm>
                    <a:prstGeom prst="rect">
                      <a:avLst/>
                    </a:prstGeom>
                    <a:noFill/>
                  </pic:spPr>
                </pic:pic>
              </a:graphicData>
            </a:graphic>
          </wp:inline>
        </w:drawing>
      </w:r>
    </w:p>
    <w:p w14:paraId="55825BDB" w14:textId="77777777" w:rsidR="003A64A3" w:rsidRPr="00972808" w:rsidRDefault="003A64A3" w:rsidP="003A64A3">
      <w:pPr>
        <w:pStyle w:val="SRTextnomal"/>
      </w:pPr>
      <w:bookmarkStart w:id="167" w:name="_Toc80264010"/>
    </w:p>
    <w:p w14:paraId="1BF8A5D0" w14:textId="01EFD205" w:rsidR="00B26249" w:rsidRPr="00972808" w:rsidRDefault="00B26249" w:rsidP="00177E3B">
      <w:pPr>
        <w:pStyle w:val="SRTextnomal"/>
      </w:pPr>
      <w:bookmarkStart w:id="168" w:name="_Hlk221020739"/>
      <w:r w:rsidRPr="00972808">
        <w:t xml:space="preserve">Objem těchto výdajů v rozpočtu na rok 2027 oproti předchozímu roku významně stoupá </w:t>
      </w:r>
      <w:r w:rsidR="00741F7D" w:rsidRPr="00972808">
        <w:t>u</w:t>
      </w:r>
      <w:r w:rsidRPr="00972808">
        <w:t xml:space="preserve"> ministerstev obrany, zahraničních věcí, financí, vnitra a zemědělství. </w:t>
      </w:r>
    </w:p>
    <w:p w14:paraId="2CFDCDB8" w14:textId="77777777" w:rsidR="00B26249" w:rsidRPr="00972808" w:rsidRDefault="00B26249" w:rsidP="00177E3B">
      <w:pPr>
        <w:pStyle w:val="SRTextnomal"/>
      </w:pPr>
      <w:r w:rsidRPr="00972808">
        <w:t xml:space="preserve">V případě Ministerstva obrany (nárůst 2,5 mld. Kč) se jedná o výdaje na nákupy materiálu a služeb v souvislosti s posilováním obranyschopnosti a bezpečnosti České republiky. </w:t>
      </w:r>
    </w:p>
    <w:p w14:paraId="1FC9C551" w14:textId="31905ED5" w:rsidR="00B26249" w:rsidRPr="00972808" w:rsidRDefault="00B26249" w:rsidP="00177E3B">
      <w:pPr>
        <w:pStyle w:val="SRTextnomal"/>
      </w:pPr>
      <w:r w:rsidRPr="00972808">
        <w:t>V kapitole Ministerstv</w:t>
      </w:r>
      <w:r w:rsidR="00741F7D" w:rsidRPr="00972808">
        <w:t>o</w:t>
      </w:r>
      <w:r w:rsidRPr="00972808">
        <w:t xml:space="preserve"> zahraničních věcí se o 44 % zvyšují výdaje na nájem nemovitostí v zahraničí, což vyplývá zejména z nárůstu cen nájemného ve většině zahraničních destinací. Jde o nájmy budov zastupitelských úřadů, rezidencí vedoucích úřadů a bytů vyslaných zaměstnanců. O 40 % se zvyšují výdaje na nákup ostatních služeb. To vyplývá ze zvýšení objemu humanitární pomoci o 30 mil. Kč, ze zahrnutí prostředků na financování zapojení občanů ČR do civilních struktur EU a dalších mezinárodních vládních organizací a do volebních pozorovatelských misí přímo do kapitoly MZV (doposud bylo uvolňováno z kap. VPS), z rozpočtování prostředků EU – „nástroj pro Ukrajinu“ (cca 65 mil. Kč) a z vyšší podpory projektů ekonomické diplomacie (cca 140 mil. Kč).</w:t>
      </w:r>
    </w:p>
    <w:p w14:paraId="1AA3741E" w14:textId="2C540832" w:rsidR="00B26249" w:rsidRPr="00972808" w:rsidRDefault="00B26249" w:rsidP="00177E3B">
      <w:pPr>
        <w:pStyle w:val="SRTextnomal"/>
        <w:rPr>
          <w:rFonts w:cs="Calibri"/>
        </w:rPr>
      </w:pPr>
      <w:r w:rsidRPr="00972808">
        <w:t>Zvýšení výdajů kapitoly Ministerstvo financí je určeno na zajištění podmínek pro činnost finanční správy a Úřadu pro zastupování státu ve věcech majetkových. V případě GFŘ jde o nutnou obměnu a nákup nových výkonných PC a</w:t>
      </w:r>
      <w:r w:rsidR="00177E3B" w:rsidRPr="00972808">
        <w:t> </w:t>
      </w:r>
      <w:r w:rsidRPr="00972808">
        <w:t xml:space="preserve">mobilních telefonů, na další projekty z programu Digitální Česko, které budou postupně začleňovány do systému DWH – Digitální daňové kobry. Například projekty Dchat, Dialog, Prisma a další projekty nad rámec Digitální kobry (On-line finanční úřad a JIM – Jednotné inkasní místo). V rozpočtu ÚZSVM je navýšení způsobeno především růstem rozsahu a cen služeb nezbytných pro správu majetku. ÚZSVM v současnosti spravuje více než 130 administrativních budov a každoročně přebírá další nemovitý majetek. S tím souvisí uzavírání nových a rozšiřování dodavatelských smluv na úklid, ostrahu, péči o zeleň a další provozní služby. Do výdajů roku 2027 se současně promítne aktivace inflačních doložek u stávajících smluv, k níž zpravidla dochází po uplynutí příslušného kalendářního roku. </w:t>
      </w:r>
      <w:r w:rsidRPr="00972808">
        <w:rPr>
          <w:rFonts w:cs="Calibri"/>
        </w:rPr>
        <w:t>Dalším důvodem je růst výdajů na znalecké posudky, péči o zvířata a řešení ekologických zátěží na převzatém majetku. Jedná se zejména o odčerpávání a</w:t>
      </w:r>
      <w:r w:rsidR="00177E3B" w:rsidRPr="00972808">
        <w:rPr>
          <w:rFonts w:cs="Calibri"/>
        </w:rPr>
        <w:t> </w:t>
      </w:r>
      <w:r w:rsidRPr="00972808">
        <w:rPr>
          <w:rFonts w:cs="Calibri"/>
        </w:rPr>
        <w:t>likvidaci odpadních vod ze skládky ve Slavičíně, opatření související s ekologickou zátěží v podobě lagun v Prunéřově a</w:t>
      </w:r>
      <w:r w:rsidR="00177E3B" w:rsidRPr="00972808">
        <w:rPr>
          <w:rFonts w:cs="Calibri"/>
        </w:rPr>
        <w:t> </w:t>
      </w:r>
      <w:r w:rsidRPr="00972808">
        <w:rPr>
          <w:rFonts w:cs="Calibri"/>
        </w:rPr>
        <w:t xml:space="preserve">nově také o zabezpečení skládky stavební suti s obsahem azbestu na pozemku převzatém od SPÚ v k. ú. Šošůvka, který se nachází ve III. zóně CHKO. </w:t>
      </w:r>
    </w:p>
    <w:p w14:paraId="0BAA6583" w14:textId="77777777" w:rsidR="00B26249" w:rsidRPr="00972808" w:rsidRDefault="00B26249" w:rsidP="00177E3B">
      <w:pPr>
        <w:pStyle w:val="SRTextnomal"/>
      </w:pPr>
      <w:r w:rsidRPr="00972808">
        <w:t>V kapitole Ministerstvo vnitra je nárůst vyvolán zvýšením výdajů kapitoly k zajištění podílu státního rozpočtu na spolufinancovaní projektů EU a k zajištění neuznatelných výdajů celkem o 1,5 mld. Kč. Dalším vlivem je zvýšení výdajů na provozní potřeby, investice včetně výdajů na zajištění kyberbezpečnosti celkem o 1,240 mld. Kč.</w:t>
      </w:r>
    </w:p>
    <w:p w14:paraId="2305186D" w14:textId="77777777" w:rsidR="00B26249" w:rsidRPr="00972808" w:rsidRDefault="00B26249" w:rsidP="00177E3B">
      <w:pPr>
        <w:pStyle w:val="SRTextnomal"/>
        <w:rPr>
          <w:rFonts w:cs="Calibri"/>
        </w:rPr>
      </w:pPr>
      <w:r w:rsidRPr="00972808">
        <w:rPr>
          <w:rFonts w:cs="Calibri"/>
        </w:rPr>
        <w:t xml:space="preserve">U Ministerstva zemědělství jde především o očekávaný nárůst objemu vyplácených finančních prostředků určených na financování projektové přípravy pozemkových úprav, která je klíčovou etapou procesu vedoucího ke zpracování návrhů pozemkových úprav a souvisejících krajinných opatření. Očekává se i nárůst objemu výdajů na právní zastoupení primárně v restitučních sporech, právní konzultace nebo posuzování souladu s platnou legislativou. </w:t>
      </w:r>
    </w:p>
    <w:p w14:paraId="0ECEEAAD" w14:textId="05322B5A" w:rsidR="005711A0" w:rsidRPr="00972808" w:rsidRDefault="005711A0" w:rsidP="000D440D">
      <w:pPr>
        <w:pStyle w:val="SRTitulek1"/>
      </w:pPr>
      <w:bookmarkStart w:id="169" w:name="_Toc239067888"/>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19</w:t>
      </w:r>
      <w:r w:rsidR="00391DA8" w:rsidRPr="00972808">
        <w:rPr>
          <w:noProof/>
        </w:rPr>
        <w:fldChar w:fldCharType="end"/>
      </w:r>
      <w:r w:rsidRPr="00972808">
        <w:t xml:space="preserve"> Užší běžné výdaje organizačních složek státu v členění dle kapitol (</w:t>
      </w:r>
      <w:r w:rsidRPr="00972808">
        <w:rPr>
          <w:i/>
        </w:rPr>
        <w:t>v mil. Kč</w:t>
      </w:r>
      <w:r w:rsidRPr="00972808">
        <w:t>)</w:t>
      </w:r>
      <w:bookmarkEnd w:id="167"/>
      <w:bookmarkEnd w:id="169"/>
    </w:p>
    <w:p w14:paraId="7864CF82" w14:textId="67E7FA91" w:rsidR="008C3147" w:rsidRPr="00972808" w:rsidRDefault="00E05CB5" w:rsidP="00C83ED1">
      <w:pPr>
        <w:pStyle w:val="SRTextnomal"/>
      </w:pPr>
      <w:r w:rsidRPr="00972808">
        <w:rPr>
          <w:noProof/>
        </w:rPr>
        <w:drawing>
          <wp:inline distT="0" distB="0" distL="0" distR="0" wp14:anchorId="06094186" wp14:editId="54A5F18E">
            <wp:extent cx="5962650" cy="7860700"/>
            <wp:effectExtent l="0" t="0" r="0" b="698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63209" cy="7861437"/>
                    </a:xfrm>
                    <a:prstGeom prst="rect">
                      <a:avLst/>
                    </a:prstGeom>
                    <a:noFill/>
                    <a:ln>
                      <a:noFill/>
                    </a:ln>
                  </pic:spPr>
                </pic:pic>
              </a:graphicData>
            </a:graphic>
          </wp:inline>
        </w:drawing>
      </w:r>
    </w:p>
    <w:p w14:paraId="54925642" w14:textId="0D06CAEA" w:rsidR="002F2EF0" w:rsidRPr="00972808" w:rsidRDefault="002F2EF0" w:rsidP="002F2EF0">
      <w:pPr>
        <w:pStyle w:val="SRTextnomal"/>
        <w:rPr>
          <w:b/>
          <w:bCs/>
        </w:rPr>
      </w:pPr>
    </w:p>
    <w:bookmarkEnd w:id="168"/>
    <w:p w14:paraId="524AE7B6" w14:textId="77777777" w:rsidR="008C3147" w:rsidRPr="00972808" w:rsidRDefault="008C3147">
      <w:pPr>
        <w:spacing w:after="0"/>
        <w:jc w:val="left"/>
      </w:pPr>
      <w:r w:rsidRPr="00972808">
        <w:br w:type="page"/>
      </w:r>
    </w:p>
    <w:p w14:paraId="78F2BF51" w14:textId="4BC2D81E" w:rsidR="00315C17" w:rsidRPr="00972808" w:rsidRDefault="00315C17" w:rsidP="00D06E57">
      <w:pPr>
        <w:pStyle w:val="SRNadpis2"/>
      </w:pPr>
      <w:bookmarkStart w:id="170" w:name="_Toc52369876"/>
      <w:bookmarkStart w:id="171" w:name="_Hlk224558442"/>
      <w:bookmarkStart w:id="172" w:name="_Hlk220398348"/>
      <w:bookmarkStart w:id="173" w:name="_Toc239067842"/>
      <w:bookmarkEnd w:id="155"/>
      <w:r w:rsidRPr="00972808">
        <w:lastRenderedPageBreak/>
        <w:t>Výdaje</w:t>
      </w:r>
      <w:bookmarkEnd w:id="156"/>
      <w:r w:rsidRPr="00972808">
        <w:t xml:space="preserve"> na financování programů</w:t>
      </w:r>
      <w:bookmarkEnd w:id="170"/>
      <w:bookmarkEnd w:id="173"/>
    </w:p>
    <w:p w14:paraId="0A6D082A" w14:textId="710034E6" w:rsidR="00BB6BED" w:rsidRPr="00972808" w:rsidRDefault="00BB6BED" w:rsidP="00BB6BED">
      <w:pPr>
        <w:spacing w:after="60"/>
        <w:rPr>
          <w:rFonts w:cs="Calibri"/>
        </w:rPr>
      </w:pPr>
      <w:bookmarkStart w:id="174" w:name="_Toc80264019"/>
      <w:r w:rsidRPr="00972808">
        <w:rPr>
          <w:rFonts w:cs="Calibri"/>
        </w:rPr>
        <w:t xml:space="preserve">Prostřednictvím programového financování je v souladu s ustanovením § 12 a </w:t>
      </w:r>
      <w:r w:rsidR="00741F7D" w:rsidRPr="00972808">
        <w:rPr>
          <w:rFonts w:cs="Calibri"/>
        </w:rPr>
        <w:t xml:space="preserve">souvisejících </w:t>
      </w:r>
      <w:r w:rsidRPr="00972808">
        <w:rPr>
          <w:rFonts w:cs="Calibri"/>
        </w:rPr>
        <w:t>paragrafů</w:t>
      </w:r>
      <w:r w:rsidR="00741F7D" w:rsidRPr="00972808">
        <w:rPr>
          <w:rFonts w:cs="Calibri"/>
        </w:rPr>
        <w:t xml:space="preserve"> </w:t>
      </w:r>
      <w:r w:rsidRPr="00972808">
        <w:rPr>
          <w:rFonts w:cs="Calibri"/>
        </w:rPr>
        <w:t>zákona č. 218/2000 Sb., o rozpočtových pravidlech realizována většina dotačních výdajů státního rozpočtu, stejně jako výdaje na správu majetku ve vlastnictví státu.</w:t>
      </w:r>
    </w:p>
    <w:p w14:paraId="13DEFABE" w14:textId="77777777" w:rsidR="00BB6BED" w:rsidRPr="00972808" w:rsidRDefault="00BB6BED" w:rsidP="00BB6BED">
      <w:pPr>
        <w:spacing w:after="60"/>
        <w:rPr>
          <w:rFonts w:cs="Calibri"/>
        </w:rPr>
      </w:pPr>
      <w:r w:rsidRPr="00972808">
        <w:rPr>
          <w:rFonts w:cs="Calibri"/>
        </w:rPr>
        <w:t>K evidenci a sledování těchto výdajů slouží Rozpočtový informační systém programového financování (RISPF), který se skládá ze tří samostatných modulů:</w:t>
      </w:r>
    </w:p>
    <w:p w14:paraId="6C460970" w14:textId="77777777" w:rsidR="00BB6BED" w:rsidRPr="00972808" w:rsidRDefault="00BB6BED" w:rsidP="00BB6BED">
      <w:pPr>
        <w:pStyle w:val="SROdrka1"/>
        <w:tabs>
          <w:tab w:val="clear" w:pos="426"/>
        </w:tabs>
        <w:ind w:left="284" w:hanging="284"/>
      </w:pPr>
      <w:r w:rsidRPr="00972808">
        <w:t>Evidenční dotační systém (EDS) – slouží pro správu investičních dotačních programů hrazených z tuzemských zdrojů státního rozpočtu.</w:t>
      </w:r>
    </w:p>
    <w:p w14:paraId="55E4F34A" w14:textId="77777777" w:rsidR="00BB6BED" w:rsidRPr="00972808" w:rsidRDefault="00BB6BED" w:rsidP="00BB6BED">
      <w:pPr>
        <w:pStyle w:val="SROdrka1"/>
        <w:tabs>
          <w:tab w:val="clear" w:pos="426"/>
        </w:tabs>
        <w:ind w:left="284" w:hanging="284"/>
      </w:pPr>
      <w:r w:rsidRPr="00972808">
        <w:t>Rozpočtový informační systém zjednodušené evidence dotací (RIS ZED) – zajišťuje evidenci neinvestičních dotačních akcí a dotací financovaných ze zahraničních zdrojů (§ 12 odst. 9 a § 13 odst. 6 zákona).</w:t>
      </w:r>
    </w:p>
    <w:p w14:paraId="4B564369" w14:textId="77777777" w:rsidR="00BB6BED" w:rsidRPr="00972808" w:rsidRDefault="00BB6BED" w:rsidP="00BB6BED">
      <w:pPr>
        <w:pStyle w:val="SROdrka1"/>
        <w:tabs>
          <w:tab w:val="clear" w:pos="426"/>
        </w:tabs>
        <w:ind w:left="284" w:hanging="284"/>
      </w:pPr>
      <w:r w:rsidRPr="00972808">
        <w:t>Správa majetku ve vlastnictví státu (SMVS) – eviduje výdaje určené na rozvoj a obnovu materiálně-technické základny státu.</w:t>
      </w:r>
    </w:p>
    <w:p w14:paraId="4764F1B4" w14:textId="77777777" w:rsidR="00BB6BED" w:rsidRPr="00972808" w:rsidRDefault="00BB6BED" w:rsidP="00BB6BED">
      <w:pPr>
        <w:pStyle w:val="SRTextnomal"/>
      </w:pPr>
      <w:r w:rsidRPr="00972808">
        <w:t xml:space="preserve">Každý program vedený v modulech EDS nebo SMVS musí mít dokumentaci vypracovanou správcem kapitoly, nebo poskytovatelem dotace a schválenou Ministerstvem financí. Tato dokumentace obsahuje jasně definované cíle, bilanci potřeb a zdrojů pro jejich dosažení a harmonogram přípravy a realizace. Konkrétní investiční akce realizují oprávnění investoři na základě investičních záměrů, které vycházejí z dokumentace příslušného programu. Rozpočet programu či jednotlivé akce může zahrnovat jak kapitálové, tak související neinvestiční výdaje. Ukazatel </w:t>
      </w:r>
      <w:r w:rsidRPr="00972808">
        <w:rPr>
          <w:i/>
          <w:iCs/>
        </w:rPr>
        <w:t>„Výdaje vedené v informačním systému programového financování EDS/SMVS celkem“</w:t>
      </w:r>
      <w:r w:rsidRPr="00972808">
        <w:t xml:space="preserve"> je sledován napříč všemi kapitolami státního rozpočtu. </w:t>
      </w:r>
    </w:p>
    <w:p w14:paraId="06996913" w14:textId="77777777" w:rsidR="00BB6BED" w:rsidRPr="00972808" w:rsidRDefault="00BB6BED" w:rsidP="00BB6BED">
      <w:pPr>
        <w:spacing w:after="60"/>
        <w:rPr>
          <w:rFonts w:cs="Calibri"/>
        </w:rPr>
      </w:pPr>
      <w:r w:rsidRPr="00972808">
        <w:rPr>
          <w:rFonts w:cs="Calibri"/>
        </w:rPr>
        <w:t>Výdaje evidované v RIS ZED jeho součástí nejsou a ani se na ně nevztahuje vyhláška č. 560/2006 Sb., o účasti státního rozpočtu na realizaci programů reprodukce majetku. RIS ZED je součástí RISPF od 1. ledna 2022 (zákon č. 484/2020 Sb.). Před tímto datem byly dotace ze zahraničních zdrojů vedeny v modulu EDS, zatímco neinvestiční dotace z tuzemských zdrojů nebyly realizovány formou programového financování.</w:t>
      </w:r>
    </w:p>
    <w:p w14:paraId="4660B9D8" w14:textId="77777777" w:rsidR="00BB6BED" w:rsidRPr="00972808" w:rsidRDefault="00BB6BED" w:rsidP="00BB6BED">
      <w:pPr>
        <w:pStyle w:val="SRTextnomal"/>
      </w:pPr>
      <w:r w:rsidRPr="00972808">
        <w:t>V roce 2027 bude s použitím prostředků státního rozpočtu realizováno 342 programů, dotace budou v modulech EDS a RIS ZED poskytovány v rámci 211 programů. V EDS/SMVS bude realizováno 170 titulů ve 168 programech, výdajových titulů bude 131 (SMVS), dotačních 39 (EDS). Z toho vyplývá, že 2 programy EDS/SMVS kombinují výdajovou a dotační část. Zbývajících 174 neinvestičních programů a programů obsahujících zahraniční zdroje SR bude zjednodušenou formou vedeno v RIS ZED.</w:t>
      </w:r>
    </w:p>
    <w:p w14:paraId="65905814" w14:textId="50E94D52" w:rsidR="00A15151" w:rsidRPr="00972808" w:rsidRDefault="003B6D10" w:rsidP="000D440D">
      <w:pPr>
        <w:pStyle w:val="SRTitulek1"/>
      </w:pPr>
      <w:bookmarkStart w:id="175" w:name="_Toc239067889"/>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20</w:t>
      </w:r>
      <w:r w:rsidR="00391DA8" w:rsidRPr="00972808">
        <w:rPr>
          <w:noProof/>
        </w:rPr>
        <w:fldChar w:fldCharType="end"/>
      </w:r>
      <w:r w:rsidR="00624F6C" w:rsidRPr="00972808">
        <w:t xml:space="preserve"> </w:t>
      </w:r>
      <w:bookmarkEnd w:id="174"/>
      <w:r w:rsidR="003952ED" w:rsidRPr="00972808">
        <w:t xml:space="preserve">Celkové výdaje státního rozpočtu na financování programů </w:t>
      </w:r>
      <w:r w:rsidR="003952ED" w:rsidRPr="00972808">
        <w:rPr>
          <w:i/>
        </w:rPr>
        <w:t>(v mld. Kč)</w:t>
      </w:r>
      <w:bookmarkEnd w:id="175"/>
    </w:p>
    <w:p w14:paraId="6D8FF165" w14:textId="378292CB" w:rsidR="003952ED" w:rsidRPr="00972808" w:rsidRDefault="00865A9C" w:rsidP="005331A2">
      <w:pPr>
        <w:pStyle w:val="SRTextnomal"/>
      </w:pPr>
      <w:r w:rsidRPr="00972808">
        <w:rPr>
          <w:noProof/>
        </w:rPr>
        <w:drawing>
          <wp:inline distT="0" distB="0" distL="0" distR="0" wp14:anchorId="61430790" wp14:editId="310A7AEB">
            <wp:extent cx="6120130" cy="2366645"/>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366645"/>
                    </a:xfrm>
                    <a:prstGeom prst="rect">
                      <a:avLst/>
                    </a:prstGeom>
                    <a:noFill/>
                    <a:ln>
                      <a:noFill/>
                    </a:ln>
                  </pic:spPr>
                </pic:pic>
              </a:graphicData>
            </a:graphic>
          </wp:inline>
        </w:drawing>
      </w:r>
    </w:p>
    <w:p w14:paraId="0D433CE4" w14:textId="77777777" w:rsidR="00BB6BED" w:rsidRPr="00972808" w:rsidRDefault="00BB6BED" w:rsidP="005331A2">
      <w:pPr>
        <w:pStyle w:val="SRTextnomal"/>
      </w:pPr>
    </w:p>
    <w:p w14:paraId="54D7B55A" w14:textId="77777777" w:rsidR="00BB6BED" w:rsidRPr="00972808" w:rsidRDefault="00BB6BED" w:rsidP="00BB6BED">
      <w:pPr>
        <w:pStyle w:val="SRTextnomal"/>
      </w:pPr>
      <w:bookmarkStart w:id="176" w:name="_Toc52369877"/>
      <w:bookmarkStart w:id="177" w:name="_Ref81132054"/>
      <w:bookmarkStart w:id="178" w:name="_Hlk220398411"/>
      <w:bookmarkEnd w:id="171"/>
      <w:r w:rsidRPr="00972808">
        <w:t xml:space="preserve">Výdaje státního rozpočtu vedené v Rozpočtovém informačním systému programového financování jsou pro rok 2027 rozpočtovány v celkové výši 756,9 mld. Kč. Do průřezového ukazatele </w:t>
      </w:r>
      <w:r w:rsidRPr="00972808">
        <w:rPr>
          <w:i/>
        </w:rPr>
        <w:t xml:space="preserve">„Výdaje vedené v informačním systému programového financování EDS/SMVS celkem“ </w:t>
      </w:r>
      <w:r w:rsidRPr="00972808">
        <w:t xml:space="preserve">jsou zahrnuty výdaje ve výši 255,4 mld. Kč. Z celkových výdajů na financování programů připadá na RIS ZED částka 501,5 mld. Kč. </w:t>
      </w:r>
    </w:p>
    <w:p w14:paraId="72550FD0" w14:textId="77777777" w:rsidR="00BB6BED" w:rsidRPr="00972808" w:rsidRDefault="00BB6BED" w:rsidP="00BB6BED">
      <w:pPr>
        <w:pStyle w:val="SRTextnomal"/>
      </w:pPr>
      <w:r w:rsidRPr="00972808">
        <w:t xml:space="preserve">Dotacím vedeným v modulech EDS a RIS ZED přísluší celkové výdaje ve výši 643,7 mld. Kč, z toho 178,9 mld. Kč investičních výdajů a 464,8 mld. Kč neinvestičních. Do SMVS, tedy především na obnovu a pořízení dlouhodobého hmotného a nehmotného majetku státu, včetně souvisejících výdajů, je alokováno 113,2 mld. Kč, z toho 104,7 mld. Kč investičních výdajů a 8,5 mld. Kč neinvestičních. </w:t>
      </w:r>
    </w:p>
    <w:p w14:paraId="444CA1C3" w14:textId="271408B9" w:rsidR="00BB6BED" w:rsidRPr="00972808" w:rsidRDefault="00BB6BED" w:rsidP="00BB6BED">
      <w:pPr>
        <w:pStyle w:val="SRTextnomal"/>
      </w:pPr>
      <w:r w:rsidRPr="00972808">
        <w:lastRenderedPageBreak/>
        <w:t>Výdaje na financování programů jsou pro rok 2027 rozpočtovány v 45 kapitolách. Nejvíce prostředků je rozpočtováno v kapitolách Ministerstv</w:t>
      </w:r>
      <w:r w:rsidR="00741F7D" w:rsidRPr="00972808">
        <w:t>o</w:t>
      </w:r>
      <w:r w:rsidRPr="00972808">
        <w:t xml:space="preserve"> školství, mládeže a tělovýchovy (278,0 mld. Kč), Ministerstv</w:t>
      </w:r>
      <w:r w:rsidR="00741F7D" w:rsidRPr="00972808">
        <w:t>o</w:t>
      </w:r>
      <w:r w:rsidRPr="00972808">
        <w:t xml:space="preserve"> dopravy (148,6 mld. Kč) a Ministerstv</w:t>
      </w:r>
      <w:r w:rsidR="00741F7D" w:rsidRPr="00972808">
        <w:t>o</w:t>
      </w:r>
      <w:r w:rsidRPr="00972808">
        <w:t xml:space="preserve"> obrany (82,3 mld. Kč).</w:t>
      </w:r>
    </w:p>
    <w:p w14:paraId="4AE691C7" w14:textId="77777777" w:rsidR="00BB6BED" w:rsidRPr="00972808" w:rsidRDefault="00BB6BED" w:rsidP="00BB6BED">
      <w:pPr>
        <w:pStyle w:val="SRTextnomal"/>
      </w:pPr>
      <w:r w:rsidRPr="00972808">
        <w:t>Nejvýznamnější programy z hlediska objemu finančních prostředků alokovaných v rámci státního rozpočtu 2027 na jejich realizaci směřují do oblasti školství, dopravy, zemědělství a obnovitelných energií.</w:t>
      </w:r>
    </w:p>
    <w:p w14:paraId="0A735444" w14:textId="77777777" w:rsidR="00BB6BED" w:rsidRPr="00972808" w:rsidRDefault="00BB6BED" w:rsidP="00BB6BED">
      <w:pPr>
        <w:pStyle w:val="SRTextnomal"/>
      </w:pPr>
      <w:r w:rsidRPr="00972808">
        <w:t xml:space="preserve">Ministerstvem školství, mládeže a tělovýchovy zřízený program Z33 01 Dotace na činnost škol a školských zařízení zřizovaných ÚSC, v němž jsou na rok 2027 rozpočtovány výdaje ve výši 196,4 mld. Kč, představuje dlouhodobě největší program v rámci programového financování. Tento program je zásadním nástrojem pro zajištění provozu regionálního školství. Dalším významným programem v gesci MŠMT je program Z33 41 Financování činnosti vysokých škol, který se zaměřuje na financování činnosti veřejných vysokých škol, včetně výdajů na vzdělávací, výzkumnou a rozvojovou činnost. Na rok 2027 je jeho rozpočet 34,6 mld. Kč. </w:t>
      </w:r>
    </w:p>
    <w:p w14:paraId="0574676F" w14:textId="77777777" w:rsidR="00BB6BED" w:rsidRPr="00972808" w:rsidRDefault="00BB6BED" w:rsidP="00BB6BED">
      <w:pPr>
        <w:pStyle w:val="SRTextnomal"/>
      </w:pPr>
      <w:r w:rsidRPr="00972808">
        <w:t>S rozpočtem 129,0 mld. Kč na rok 2027 je nejvýznamnějším investičním dotačním programem Ministerstvem dopravy administrovaný program 127 76 Ostatní dotace pro SFDI, kterým se předávají převážně investiční dotace Státnímu fondu dopravní infrastruktury (SFDI). Tyto prostředky slouží k financování výstavby, modernizace a údržby dopravní sítě ČR. Významná část těchto prostředků směřuje do investičních projektů s dlouhodobým dopadem na mobilitu a logistiku.</w:t>
      </w:r>
    </w:p>
    <w:p w14:paraId="5DB0BFAD" w14:textId="77777777" w:rsidR="00BB6BED" w:rsidRPr="00972808" w:rsidRDefault="00BB6BED" w:rsidP="00BB6BED">
      <w:pPr>
        <w:pStyle w:val="SRTextnomal"/>
      </w:pPr>
      <w:r w:rsidRPr="00972808">
        <w:t>V kapitole Ministerstvo zemědělství je s rozpočtem 41,4 mld. Kč v RIS ZED evidenčně veden program Z29 01 Společná zemědělská politika – PRV, který je součástí implementace Společné zemědělské politiky EU, konkrétně Programu rozvoje venkova.</w:t>
      </w:r>
    </w:p>
    <w:p w14:paraId="60B62C15" w14:textId="77777777" w:rsidR="00BB6BED" w:rsidRPr="00972808" w:rsidRDefault="00BB6BED" w:rsidP="00BB6BED">
      <w:pPr>
        <w:pStyle w:val="SRTextnomal"/>
      </w:pPr>
      <w:r w:rsidRPr="00972808">
        <w:t>Ministerstvo průmyslu a obchodu v roce 2027 alokovalo největší finanční výdaje státního rozpočtu v programu Z22 32 Dotace na obnovitelné zdroje energie s rozpočtem 40,7 mld. Kč. Jedná se o výdaje s vysokou prioritou v rámci podpory obnovitelných zdrojů energie v souladu s politikou státu a EU.</w:t>
      </w:r>
    </w:p>
    <w:p w14:paraId="47C61279" w14:textId="74501186" w:rsidR="00BB6BED" w:rsidRPr="00972808" w:rsidRDefault="00BB6BED" w:rsidP="00BB6BED">
      <w:pPr>
        <w:pStyle w:val="SRTextnomal"/>
      </w:pPr>
      <w:r w:rsidRPr="00972808">
        <w:t>Podrobné údaje o výdajích vedených v informačním systému programového financování jsou uvedeny v sešitu H. </w:t>
      </w:r>
      <w:r w:rsidRPr="00972808">
        <w:noBreakHyphen/>
        <w:t> Struktura výdajů kapitol státního rozpočtu podle programového financování.</w:t>
      </w:r>
    </w:p>
    <w:p w14:paraId="0AD9F987" w14:textId="77777777" w:rsidR="00315C17" w:rsidRPr="00972808" w:rsidRDefault="00315C17" w:rsidP="00D06E57">
      <w:pPr>
        <w:pStyle w:val="SRNadpis2"/>
      </w:pPr>
      <w:bookmarkStart w:id="179" w:name="_Toc239067843"/>
      <w:r w:rsidRPr="00972808">
        <w:t>Výdaje na neinvestiční transfery podnikatelským</w:t>
      </w:r>
      <w:bookmarkEnd w:id="172"/>
      <w:r w:rsidRPr="00972808">
        <w:t xml:space="preserve"> subjektům</w:t>
      </w:r>
      <w:bookmarkEnd w:id="176"/>
      <w:bookmarkEnd w:id="177"/>
      <w:bookmarkEnd w:id="179"/>
    </w:p>
    <w:p w14:paraId="425BDE47" w14:textId="0CB0E3C8" w:rsidR="00094DDB" w:rsidRPr="00972808" w:rsidRDefault="00094DDB" w:rsidP="00094DDB">
      <w:pPr>
        <w:pStyle w:val="SRTitulek1"/>
      </w:pPr>
      <w:bookmarkStart w:id="180" w:name="_Toc239067890"/>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21</w:t>
      </w:r>
      <w:r w:rsidR="00391DA8" w:rsidRPr="00972808">
        <w:rPr>
          <w:noProof/>
        </w:rPr>
        <w:fldChar w:fldCharType="end"/>
      </w:r>
      <w:r w:rsidRPr="00972808">
        <w:t xml:space="preserve"> Přehled výdajů na neinvestiční transfery podnikatelským subjektům podle kapitol – podseskupení rozpočtové skladby 521 </w:t>
      </w:r>
      <w:r w:rsidRPr="00972808">
        <w:rPr>
          <w:i/>
        </w:rPr>
        <w:t>(v mil. Kč)</w:t>
      </w:r>
      <w:bookmarkEnd w:id="180"/>
    </w:p>
    <w:p w14:paraId="4EA3ED9C" w14:textId="0F96F19B" w:rsidR="00527A0B" w:rsidRPr="00972808" w:rsidRDefault="00584743" w:rsidP="00527A0B">
      <w:pPr>
        <w:pStyle w:val="SRTextnomal"/>
      </w:pPr>
      <w:r w:rsidRPr="00972808">
        <w:rPr>
          <w:noProof/>
        </w:rPr>
        <w:drawing>
          <wp:inline distT="0" distB="0" distL="0" distR="0" wp14:anchorId="4BC30920" wp14:editId="76B4106A">
            <wp:extent cx="6120130" cy="2854325"/>
            <wp:effectExtent l="0" t="0" r="0" b="3175"/>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2854325"/>
                    </a:xfrm>
                    <a:prstGeom prst="rect">
                      <a:avLst/>
                    </a:prstGeom>
                    <a:noFill/>
                    <a:ln>
                      <a:noFill/>
                    </a:ln>
                  </pic:spPr>
                </pic:pic>
              </a:graphicData>
            </a:graphic>
          </wp:inline>
        </w:drawing>
      </w:r>
    </w:p>
    <w:p w14:paraId="65CDDCF6" w14:textId="77777777" w:rsidR="00094DDB" w:rsidRPr="00972808" w:rsidRDefault="00094DDB" w:rsidP="00527A0B">
      <w:pPr>
        <w:pStyle w:val="SRTextnomal"/>
      </w:pPr>
    </w:p>
    <w:p w14:paraId="2227D9F6" w14:textId="77777777" w:rsidR="00527A0B" w:rsidRPr="00972808" w:rsidRDefault="00527A0B" w:rsidP="00527A0B">
      <w:pPr>
        <w:pStyle w:val="SRTextnomal"/>
        <w:sectPr w:rsidR="00527A0B" w:rsidRPr="00972808" w:rsidSect="00A41B82">
          <w:pgSz w:w="11906" w:h="16838" w:code="9"/>
          <w:pgMar w:top="1134" w:right="1134" w:bottom="1134" w:left="1134" w:header="709" w:footer="709" w:gutter="0"/>
          <w:cols w:space="397"/>
          <w:docGrid w:linePitch="360"/>
        </w:sectPr>
      </w:pPr>
    </w:p>
    <w:p w14:paraId="16450429" w14:textId="77777777" w:rsidR="00584743" w:rsidRPr="00972808" w:rsidRDefault="00584743" w:rsidP="00584743">
      <w:pPr>
        <w:pStyle w:val="SRTextnomal"/>
      </w:pPr>
      <w:bookmarkStart w:id="181" w:name="_Toc52369878"/>
      <w:bookmarkStart w:id="182" w:name="_Ref81132065"/>
      <w:bookmarkStart w:id="183" w:name="_Ref81132111"/>
      <w:bookmarkStart w:id="184" w:name="_Hlk220398483"/>
      <w:r w:rsidRPr="00972808">
        <w:t>Objem neinvestičních transferů podnikatelským subjektům v návrhu státního rozpočtu na rok 2027 představuje 75,8 mld. Kč. Při meziročním porovnání těchto transferů dochází ke zvýšení oproti schválenému rozpočtu na rok 2026 o 7,6 %.</w:t>
      </w:r>
    </w:p>
    <w:p w14:paraId="70BD44F3" w14:textId="77777777" w:rsidR="00584743" w:rsidRPr="00972808" w:rsidRDefault="00584743" w:rsidP="00584743">
      <w:pPr>
        <w:pStyle w:val="SRTextnomal"/>
      </w:pPr>
      <w:r w:rsidRPr="00972808">
        <w:t xml:space="preserve">Největší část neinvestičních transferů pro podnikatelské subjekty na rok 2027 připadá na </w:t>
      </w:r>
      <w:r w:rsidRPr="00972808">
        <w:rPr>
          <w:b/>
        </w:rPr>
        <w:t>Ministerstvo průmyslu a obchodu</w:t>
      </w:r>
      <w:r w:rsidRPr="00972808">
        <w:t xml:space="preserve"> ve výši 48,9 mld. Kč. </w:t>
      </w:r>
      <w:bookmarkStart w:id="185" w:name="_Hlk220655532"/>
      <w:r w:rsidRPr="00972808">
        <w:t>Nejvýznamnější podíl na tomto objemu mají dotace na obnovitelné zdroje energie ve výši</w:t>
      </w:r>
      <w:bookmarkEnd w:id="185"/>
      <w:r w:rsidRPr="00972808">
        <w:t xml:space="preserve"> 40,7 mld. Kč. Prostředky jsou určeny pro operátora trhu s elektřinou OTE, a.s. Výdaje na podporované zdroje energie (POZE) budou v roce 2027, stejně jako v roce 2026, hrazeny v plné výši ze státního rozpočtu. Odběratelé elektřiny tak nebudou muset hradit poplatek na podporu POZE v rámci regulované složky ceny elektřiny. Tento krok přispěje k </w:t>
      </w:r>
      <w:r w:rsidRPr="00972808">
        <w:lastRenderedPageBreak/>
        <w:t>omezení růstu inflace a cen elektřiny pro domácnosti i podniky a zároveň podpoří konkurenceschopnost českého hospodářství. V rámci Operačního programu Technologie a aplikace pro konkurenceschopnost (OP TAK) je uvažováno s neinvestičním transferem ve výši 2 mld. Kč. OP TAK je v rámci přímé podpory malých a středních podnikatelů zaměřen na témata výzkumu, vývoje a inovací, růstu a konkurenceschopnosti. Na útlum hornictví jsou určeny finanční prostředky v celkové výši 1,6 mld. Kč, z toho je na mandatorní sociální dotace zaměstnavatelům stanoveno 300 mil. Kč a na technickou část zahlazování hornické činnosti 1,3 mld. Kč. Na financování začlenění OKD, a.s. do s. p. DIAMO je rozpočtována částka 1,4 mld. Kč. V souladu s usnesením vlády ČR č. 176/2022 je zajišťována úhrada nákladů a výdajů spojených s řešením důsledků po chemické těžbě uranu a souvisejících činností v oblasti Stráže pod Ralskem, pro rok 2027 se jedná o neinvestiční transfery ve výši 1,3 mld. Kč. Dotace a půjčky na výzkum a vývoj bez spolufinancovaných programů z EU představují 1,3 mld. Kč, neinvestiční transfer na akci Hyundai a další investiční akce 393,4 mil. Kč a ekologická dotace na úhrady z vydobytých nerostů činí 123,3 mil. Kč. Neinvestiční transfer ve výši 40 mil. Kč je určen na program IPCEI ME/CT – FID. First Industrial Deployment (FID) je projekt společnosti UJP PRAHA a.s., který je součástí notifikovaného významného projektu společného evropského zájmu IPCEI ME/CT (mikroelektronika a komunikační technologie), schváleného Evropskou komisí. Projekt je zaměřen na vývoj a první průmyslové nasazení radiačně odolných čipů využitelných zejména ve zdravotnictví (radioterapie), kosmických aplikacích a dalších oblastech kritické infrastruktury. Částka 30 mil. Kč je určena na vklad do Středoevropského fondu fondů, který přes vybrané fondy nabízí podporu pro růstově orientované firmy (malé a střední podniky), které potřebují a shánějí kapitál na svůj další rozvoj.</w:t>
      </w:r>
    </w:p>
    <w:p w14:paraId="280B16FD" w14:textId="77777777" w:rsidR="00584743" w:rsidRPr="00972808" w:rsidRDefault="00584743" w:rsidP="00584743">
      <w:pPr>
        <w:pStyle w:val="SRTextnomal"/>
      </w:pPr>
      <w:r w:rsidRPr="00972808">
        <w:t xml:space="preserve">V kapitole </w:t>
      </w:r>
      <w:r w:rsidRPr="00972808">
        <w:rPr>
          <w:b/>
        </w:rPr>
        <w:t xml:space="preserve">Ministerstvo dopravy </w:t>
      </w:r>
      <w:r w:rsidRPr="00972808">
        <w:t>jsou pro rok 2027 rozpočtovány neinvestiční transfery ve výši 6,6 mld. Kč. Z tohoto objemu je největší část určena na úhradu ztráty ze závazku veřejné služby ve veřejné drážní osobní dopravě ve výši 6,5 mld. Kč. Na mezinárodní spolupráci v obraně je určeno 64,1 mil. Kč, jedná se o kompenzaci nákladů na poskytování letových provozních služeb letům osvobozených od zpoplatnění ve vzdušném prostoru ČR </w:t>
      </w:r>
      <w:r w:rsidRPr="00972808">
        <w:noBreakHyphen/>
        <w:t> přelety NATO. Na úhradu poplatků vybíraných za letové provozní služby poskytované ve vzdušném prostoru ČR je vyčleněno 19,4 mil. Kč.</w:t>
      </w:r>
    </w:p>
    <w:p w14:paraId="4C7DB35D" w14:textId="77777777" w:rsidR="00584743" w:rsidRPr="00972808" w:rsidRDefault="00584743" w:rsidP="00584743">
      <w:pPr>
        <w:pStyle w:val="SRTextnomal"/>
      </w:pPr>
      <w:r w:rsidRPr="00972808">
        <w:t xml:space="preserve">Neinvestiční transfery podnikatelským subjektům v rámci kapitoly </w:t>
      </w:r>
      <w:r w:rsidRPr="00972808">
        <w:rPr>
          <w:b/>
          <w:bCs/>
        </w:rPr>
        <w:t>Ministerstvo zemědělství</w:t>
      </w:r>
      <w:r w:rsidRPr="00972808">
        <w:t xml:space="preserve"> jsou pro rok 2027 předpokládány ve výši 1,4 mld. Kč. Na podporu agrárního sektoru je určena částka 1,2 mld. Kč, z čehož je v rámci národních podpor určeno 1 mld. Kč na dotaci PGRLF, 95 mil. Kč na podpůrné programy a 40 mil. Kč Vinařskému fondu. Do vodního hospodářství směřují neinvestiční transfery ve výši 68 mil. Kč a na operační program Rybářství je určeno 45,8 mil. Kč. Ostatní výdaje na státní politiku resortu, inspekční, kontrolní a výzkumnou činnost činí 176,2 mil. Kč.</w:t>
      </w:r>
    </w:p>
    <w:p w14:paraId="0D56CD41" w14:textId="77777777" w:rsidR="00584743" w:rsidRPr="00972808" w:rsidRDefault="00584743" w:rsidP="00584743">
      <w:pPr>
        <w:pStyle w:val="SRTextnomal"/>
      </w:pPr>
      <w:r w:rsidRPr="00972808">
        <w:rPr>
          <w:b/>
          <w:bCs/>
        </w:rPr>
        <w:t>Ministerstvo práce a sociálních věcí</w:t>
      </w:r>
      <w:r w:rsidRPr="00972808">
        <w:t xml:space="preserve"> uvažuje s neinvestičními transfery pro podnikatelské subjekty pro rok 2027 ve výši 14,6 mld. Kč. Příspěvek na podporu zaměstnávání osob se zdravotním postižením je rozpočtován ve výši 13,4 mld. Kč. Na aktivní politiku zaměstnanosti je určena částka 1,2 mld. Kč, a to zejména na společensky účelná pracovní místa, cílené programy k řešení zaměstnanosti a veřejně prospěšné práce. V rámci neinvestičních nedávkových transferů je vyčleněna částka 47,9 mil. Kč na ostatní sociální péči a pomoc rodině a manželství.</w:t>
      </w:r>
    </w:p>
    <w:p w14:paraId="560D019E" w14:textId="77777777" w:rsidR="00584743" w:rsidRPr="00972808" w:rsidRDefault="00584743" w:rsidP="00584743">
      <w:pPr>
        <w:pStyle w:val="SRTextnomal"/>
      </w:pPr>
      <w:r w:rsidRPr="00972808">
        <w:t xml:space="preserve">Neinvestiční transfery podnikatelským subjektům v kapitole </w:t>
      </w:r>
      <w:r w:rsidRPr="00972808">
        <w:rPr>
          <w:b/>
          <w:bCs/>
        </w:rPr>
        <w:t>Technologická agentura ČR</w:t>
      </w:r>
      <w:r w:rsidRPr="00972808">
        <w:t xml:space="preserve"> v objemu 2,3 mld. Kč jsou určeny na dotační programy vybraných projektů aplikovaného výzkumu, experimentálního vývoje a inovací.</w:t>
      </w:r>
    </w:p>
    <w:p w14:paraId="4C03DD6B" w14:textId="77777777" w:rsidR="00584743" w:rsidRPr="00972808" w:rsidRDefault="00584743" w:rsidP="00584743">
      <w:pPr>
        <w:pStyle w:val="SRTextnomal"/>
      </w:pPr>
      <w:r w:rsidRPr="00972808">
        <w:rPr>
          <w:b/>
        </w:rPr>
        <w:t>Ministerstvo obrany</w:t>
      </w:r>
      <w:r w:rsidRPr="00972808">
        <w:t xml:space="preserve"> předpokládá neinvestiční transfery podnikatelským subjektům v částce 406,8 mil. Kč, jedná se o transfery na řešení projektů obranného výzkumu a vývoje ve výši 322,8 mil. Kč a o dotační program Zapojení ČR do Inovačního fondu NATO ve výši 84 mil. Kč.</w:t>
      </w:r>
    </w:p>
    <w:p w14:paraId="4B52359A" w14:textId="77777777" w:rsidR="00584743" w:rsidRPr="00972808" w:rsidRDefault="00584743" w:rsidP="00584743">
      <w:pPr>
        <w:pStyle w:val="SRTextnomal"/>
      </w:pPr>
      <w:r w:rsidRPr="00972808">
        <w:rPr>
          <w:b/>
          <w:bCs/>
        </w:rPr>
        <w:t>Ministerstvo zahraničních věcí</w:t>
      </w:r>
      <w:r w:rsidRPr="00972808">
        <w:t xml:space="preserve"> rozpočtuje pro rok 2027 neinvestiční transfery podnikatelským subjektům v objemu 510 mil. Kč. Především se jedná se o dotaci pro Národní rozvojovou banku, které budou v letech 2026 až 2028 každoročně poskytovány finanční prostředky ve výši 500 mil. Kč, a to na spolufinancování její účasti v Nástroji EU pro Ukrajinu v rámci pokračování Programu humanitární, stabilizační, rekonstrukční a hospodářské asistence Ukrajině po roce 2025. Částka 10 mil. Kč je určena pro nefinanční podnikatelské subjekty v rámci prostředků vyčleněných na zahraniční rozvojovou spolupráci.</w:t>
      </w:r>
    </w:p>
    <w:p w14:paraId="2BDF25B8" w14:textId="77777777" w:rsidR="00584743" w:rsidRPr="00972808" w:rsidRDefault="00584743" w:rsidP="00584743">
      <w:pPr>
        <w:pStyle w:val="SRTextnomal"/>
      </w:pPr>
      <w:r w:rsidRPr="00972808">
        <w:t xml:space="preserve">V kapitole </w:t>
      </w:r>
      <w:r w:rsidRPr="00972808">
        <w:rPr>
          <w:b/>
        </w:rPr>
        <w:t>Ministerstvo zdravotnictví</w:t>
      </w:r>
      <w:r w:rsidRPr="00972808">
        <w:t xml:space="preserve"> jsou pro rok 2027 rozpočtovány neinvestiční transfery ve výši 808,2 mil. Kč, převážně na další vzdělávání pracovníků ve zdravotnictví.</w:t>
      </w:r>
    </w:p>
    <w:p w14:paraId="2AB6D657" w14:textId="77777777" w:rsidR="00584743" w:rsidRPr="00972808" w:rsidRDefault="00584743" w:rsidP="00584743">
      <w:pPr>
        <w:pStyle w:val="SRTextnomal"/>
      </w:pPr>
      <w:r w:rsidRPr="00972808">
        <w:t xml:space="preserve">Neinvestiční transfery podnikatelským subjektům v rámci kapitoly </w:t>
      </w:r>
      <w:r w:rsidRPr="00972808">
        <w:rPr>
          <w:b/>
        </w:rPr>
        <w:t>Ministerstvo kultury</w:t>
      </w:r>
      <w:r w:rsidRPr="00972808">
        <w:t xml:space="preserve"> jsou pro rok 2027 předpokládány ve výši 95,5 mil. Kč. Na kulturní aktivity, jako jsou festivaly, vydavatelská činnost, výstavní činnost, mezinárodní spolupráce v kultuře a další kulturní akce je uvažováno s částkou 92,2 mil. Kč a na výdaje na vědu, výzkum a inovace 2,4 mil. Kč.</w:t>
      </w:r>
    </w:p>
    <w:p w14:paraId="4349A0EC" w14:textId="77777777" w:rsidR="00584743" w:rsidRDefault="00584743" w:rsidP="00584743">
      <w:pPr>
        <w:pStyle w:val="SRTextnomal"/>
      </w:pPr>
      <w:r w:rsidRPr="00972808">
        <w:t xml:space="preserve">V kapitole </w:t>
      </w:r>
      <w:r w:rsidRPr="00972808">
        <w:rPr>
          <w:b/>
        </w:rPr>
        <w:t>Ministerstvo školství, mládeže a tělovýchovy</w:t>
      </w:r>
      <w:r w:rsidRPr="00972808">
        <w:t xml:space="preserve"> jsou rozpočtovány neinvestiční transfery podnikatelským subjektům pro rok 2027 ve výši 25,0 mil. Kč, a to na podporu výzkumu a vývoje.</w:t>
      </w:r>
    </w:p>
    <w:p w14:paraId="5160C918" w14:textId="77777777" w:rsidR="00344480" w:rsidRPr="00972808" w:rsidRDefault="00344480" w:rsidP="00584743">
      <w:pPr>
        <w:pStyle w:val="SRTextnomal"/>
      </w:pPr>
    </w:p>
    <w:p w14:paraId="152E0D78" w14:textId="77777777" w:rsidR="00315C17" w:rsidRPr="00972808" w:rsidRDefault="00315C17" w:rsidP="00D06E57">
      <w:pPr>
        <w:pStyle w:val="SRNadpis2"/>
      </w:pPr>
      <w:bookmarkStart w:id="186" w:name="_Toc239067844"/>
      <w:r w:rsidRPr="00972808">
        <w:t>Výdaje státu na podporu činnosti nestátních nezisk</w:t>
      </w:r>
      <w:bookmarkEnd w:id="178"/>
      <w:r w:rsidRPr="00972808">
        <w:t>ových organizací</w:t>
      </w:r>
      <w:bookmarkEnd w:id="181"/>
      <w:bookmarkEnd w:id="182"/>
      <w:bookmarkEnd w:id="183"/>
      <w:bookmarkEnd w:id="186"/>
    </w:p>
    <w:p w14:paraId="4CDC6DBA" w14:textId="77777777" w:rsidR="00307C13" w:rsidRPr="00972808" w:rsidRDefault="00307C13" w:rsidP="00307C13">
      <w:pPr>
        <w:pStyle w:val="SRTextnomal"/>
      </w:pPr>
      <w:r w:rsidRPr="00972808">
        <w:t xml:space="preserve">Podle zákona o rozpočtových pravidlech se ze státního rozpočtu poskytují dotace nestátním neziskovým organizacím, jako jsou spolky, nadace a nadační fondy, ústavy, obecně prospěšné společnosti či další právnické osoby, jejichž hlavním </w:t>
      </w:r>
      <w:r w:rsidRPr="00972808">
        <w:lastRenderedPageBreak/>
        <w:t xml:space="preserve">předmětem činnosti je poskytování zejména zdravotních, kulturních, vzdělávacích a sociálních služeb, podpora sportovních aktivit a sociálně právní ochrana dětí. Poskytování dotací je podrobně upraveno „Zásadami vlády pro poskytování dotací ze státního rozpočtu České republiky nestátním neziskovým organizacím ústředními orgány státní správy“, jejichž znění bylo schváleno usnesením vlády č. 591 ze dne 1. 6. 2020. </w:t>
      </w:r>
    </w:p>
    <w:p w14:paraId="3F6A5542" w14:textId="77777777" w:rsidR="00307C13" w:rsidRPr="00972808" w:rsidRDefault="00307C13" w:rsidP="00307C13">
      <w:pPr>
        <w:pStyle w:val="SRTextnomal"/>
      </w:pPr>
      <w:r w:rsidRPr="00972808">
        <w:t xml:space="preserve">Jedná se převážně o neinvestiční dotace, v menším rozsahu jsou poskytovány i dotace na investice. V návrhu státního rozpočtu na rok 2027 dosahují tyto výdaje celkem 26,9 mld. Kč. Struktura dotací podle jejich odvětvového zaměření je zřejmá z následujícího grafu. </w:t>
      </w:r>
    </w:p>
    <w:p w14:paraId="337F83C1" w14:textId="105AB2E6" w:rsidR="00315C17" w:rsidRPr="00972808" w:rsidRDefault="004D4FC1" w:rsidP="000D440D">
      <w:pPr>
        <w:pStyle w:val="SRTitulek1"/>
        <w:rPr>
          <w:i/>
          <w:iCs/>
        </w:rPr>
      </w:pPr>
      <w:bookmarkStart w:id="187" w:name="_Toc239067929"/>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20</w:t>
      </w:r>
      <w:r w:rsidR="00391DA8" w:rsidRPr="00972808">
        <w:rPr>
          <w:noProof/>
        </w:rPr>
        <w:fldChar w:fldCharType="end"/>
      </w:r>
      <w:r w:rsidRPr="00972808">
        <w:t xml:space="preserve"> </w:t>
      </w:r>
      <w:r w:rsidR="005E4EC7" w:rsidRPr="00972808">
        <w:t>T</w:t>
      </w:r>
      <w:r w:rsidR="00B762A9" w:rsidRPr="00972808">
        <w:t xml:space="preserve">ransfery </w:t>
      </w:r>
      <w:r w:rsidR="005E4EC7" w:rsidRPr="00972808">
        <w:t xml:space="preserve">celkem </w:t>
      </w:r>
      <w:r w:rsidR="00B762A9" w:rsidRPr="00972808">
        <w:t>neziskovým a podobným organizacím</w:t>
      </w:r>
      <w:r w:rsidR="00866D3F" w:rsidRPr="00972808">
        <w:t xml:space="preserve"> </w:t>
      </w:r>
      <w:r w:rsidR="00866D3F" w:rsidRPr="00972808">
        <w:rPr>
          <w:i/>
          <w:iCs/>
        </w:rPr>
        <w:t>(v %</w:t>
      </w:r>
      <w:r w:rsidR="00E00C15" w:rsidRPr="00972808">
        <w:rPr>
          <w:i/>
          <w:iCs/>
        </w:rPr>
        <w:t xml:space="preserve"> z celkových transferů neziskovým a podobným organizacím</w:t>
      </w:r>
      <w:r w:rsidR="00866D3F" w:rsidRPr="00972808">
        <w:rPr>
          <w:i/>
          <w:iCs/>
        </w:rPr>
        <w:t>)</w:t>
      </w:r>
      <w:bookmarkEnd w:id="187"/>
    </w:p>
    <w:p w14:paraId="3DEE6139" w14:textId="5A8906C7" w:rsidR="00CC15B1" w:rsidRPr="00972808" w:rsidRDefault="00307C13" w:rsidP="0035066E">
      <w:pPr>
        <w:pStyle w:val="SRTextnomal"/>
      </w:pPr>
      <w:bookmarkStart w:id="188" w:name="_Toc80264021"/>
      <w:r w:rsidRPr="00972808">
        <w:rPr>
          <w:noProof/>
        </w:rPr>
        <w:drawing>
          <wp:inline distT="0" distB="0" distL="0" distR="0" wp14:anchorId="61A128BF" wp14:editId="75190E26">
            <wp:extent cx="6114868" cy="3740382"/>
            <wp:effectExtent l="0" t="0" r="635"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8136" cy="3748498"/>
                    </a:xfrm>
                    <a:prstGeom prst="rect">
                      <a:avLst/>
                    </a:prstGeom>
                    <a:noFill/>
                  </pic:spPr>
                </pic:pic>
              </a:graphicData>
            </a:graphic>
          </wp:inline>
        </w:drawing>
      </w:r>
    </w:p>
    <w:p w14:paraId="44F5ED36" w14:textId="77777777" w:rsidR="00341AA9" w:rsidRPr="00972808" w:rsidRDefault="00341AA9" w:rsidP="00341AA9">
      <w:pPr>
        <w:pStyle w:val="SRTextnomal"/>
      </w:pPr>
    </w:p>
    <w:p w14:paraId="3721DC8C" w14:textId="77777777" w:rsidR="00307C13" w:rsidRPr="00972808" w:rsidRDefault="00307C13" w:rsidP="00307C13">
      <w:pPr>
        <w:pStyle w:val="SRTextnomal"/>
      </w:pPr>
      <w:r w:rsidRPr="00972808">
        <w:t xml:space="preserve">Ve státním rozpočtu na rok 2027 jsou zahrnuty </w:t>
      </w:r>
      <w:r w:rsidRPr="00972808">
        <w:rPr>
          <w:b/>
        </w:rPr>
        <w:t>neinvestiční transfery</w:t>
      </w:r>
      <w:r w:rsidRPr="00972808">
        <w:t xml:space="preserve"> neziskovým a podobným organizacím z tuzemských i zahraničních zdrojů v celkovém objemu 26, 3 mld. Kč. Oproti rozpočtu na rok 2026 se jejich objem snižuje o 0,6 mld. Kč. K významnému snížení výdajů dochází v kapitolách Úřad vlády a Všeobecná pokladní správa. </w:t>
      </w:r>
    </w:p>
    <w:p w14:paraId="2916B5E9" w14:textId="77777777" w:rsidR="00307C13" w:rsidRPr="00972808" w:rsidRDefault="00307C13" w:rsidP="00307C13">
      <w:pPr>
        <w:pStyle w:val="SRTextnomal"/>
      </w:pPr>
      <w:r w:rsidRPr="00972808">
        <w:t>Na základě usnesení vlády České republiky ze dne 18. května 2026 č. 302/2026, k přesunu některých agend Úřadu vlády České republiky, ve znění usnesení vlády České republiky ze dne 25. května 2026 č. 319/2026, byly z Úřadu vlády na příslušná ministerstva převedeny agendy v oblasti lidských práv, ochrany práv příslušníků národnostních menšin, rovnosti žen a mužů, práv osob se zdravotním postižením, závislostí a duševního zdraví. Usnesením vlády č. 302/2026 byl schválen zejména převod působnosti v oblasti spolupráce s občanskou společností a lidských práv na Ministerstvo spravedlnosti, převod působnosti v oblasti národnostních menšin a romských záležitostí, práv osob se zdravotním postižením a rovnosti žen a mužů na Ministerstvo práce a sociálních věcí a Ministerstvo kultury a převod působnosti v oblasti protidrogové politiky a duševního zdraví na Ministerstvo zdravotnictví.</w:t>
      </w:r>
    </w:p>
    <w:p w14:paraId="674D7752" w14:textId="77777777" w:rsidR="00307C13" w:rsidRPr="00972808" w:rsidRDefault="00307C13" w:rsidP="00307C13">
      <w:pPr>
        <w:pStyle w:val="SRTextnomal"/>
      </w:pPr>
      <w:r w:rsidRPr="00972808">
        <w:t xml:space="preserve">Vývoj výdajů v kapitole Všeobecná pokladní správa souvisí s volebním cyklem a je odvozený od předpokládaného objemu příspěvků na činnost politických stran a hnutí a objemu příspěvků na úhradu volebních nákladů politickým stranám a hnutím. </w:t>
      </w:r>
    </w:p>
    <w:p w14:paraId="21E7702A" w14:textId="77777777" w:rsidR="00307C13" w:rsidRPr="00972808" w:rsidRDefault="00307C13" w:rsidP="00307C13">
      <w:pPr>
        <w:pStyle w:val="SRTextnomal"/>
      </w:pPr>
      <w:r w:rsidRPr="00972808">
        <w:t xml:space="preserve">Naopak v kapitole Ministerstvo zdravotnictví se neinvestiční transfery neziskovým organizacím výrazně zvyšují. Děje se tak díky programu protidrogové politiky a politiky závislostí, přesunutých z Úřadu vlády na Ministerstvo zdravotnictví.  </w:t>
      </w:r>
    </w:p>
    <w:p w14:paraId="46C6B9E6" w14:textId="77777777" w:rsidR="00307C13" w:rsidRPr="00972808" w:rsidRDefault="00307C13" w:rsidP="00307C13">
      <w:pPr>
        <w:pStyle w:val="SRTextnomal"/>
      </w:pPr>
      <w:r w:rsidRPr="00972808">
        <w:t xml:space="preserve">Více než 90 % neinvestičních transferů je součástí rozpočtu Ministerstva školství, mládeže a tělovýchovy, Národní sportovní agentury, Ministerstva práce a sociálních věcí a Ministerstva kultury. </w:t>
      </w:r>
    </w:p>
    <w:p w14:paraId="50D680B3" w14:textId="77777777" w:rsidR="00307C13" w:rsidRPr="00972808" w:rsidRDefault="00307C13" w:rsidP="00307C13">
      <w:pPr>
        <w:pStyle w:val="SRTextnomal"/>
      </w:pPr>
      <w:r w:rsidRPr="00972808">
        <w:t xml:space="preserve">Výdaje v působnosti těchto rozpočtových kapitol jsou určeny sportovním organizacím na podporu sportu, zejména dětí a mládeže, zajištění sportovních organizací, sportovní reprezentace a na pořádání významných sportovních akcí (Národní sportovní agentura), dále na volnočasové aktivity dětí a mládeže a dotace církevním školám (Ministerstvo školství, mládeže a tělovýchovy). Největší objem výdajů představují dotace na podporu služeb pro rodiny, které mají </w:t>
      </w:r>
      <w:r w:rsidRPr="00972808">
        <w:lastRenderedPageBreak/>
        <w:t xml:space="preserve">preventivní a podpůrný charakter (posílení rodičovských kompetencí, zkvalitnění rodinných vztahů, podpora rodiny v péči o děti, v jejich výchově a při slaďování práce a rodiny), dotace na poskytování sociálních služeb, podpora činnosti seniorských a proseniorských organizací a na vyplácení státního příspěvku na provoz dětských skupin. </w:t>
      </w:r>
    </w:p>
    <w:p w14:paraId="50142C31" w14:textId="77777777" w:rsidR="00307C13" w:rsidRPr="00972808" w:rsidRDefault="00307C13" w:rsidP="00307C13">
      <w:pPr>
        <w:pStyle w:val="SRTextnomal"/>
      </w:pPr>
      <w:r w:rsidRPr="00972808">
        <w:t>Z rozpočtu Ministerstva kultury je podporováno zachování a obnova kulturních památek, divadelní a hudební aktivity, zájmová umělecká činnost, podpora významných kulturních aktivit s náboženskou tématikou pro církve a náboženské společnosti a spolky.</w:t>
      </w:r>
    </w:p>
    <w:p w14:paraId="30F0337C" w14:textId="77777777" w:rsidR="00307C13" w:rsidRPr="00972808" w:rsidRDefault="00307C13" w:rsidP="00307C13">
      <w:pPr>
        <w:pStyle w:val="SRTextnomal"/>
      </w:pPr>
      <w:r w:rsidRPr="00972808">
        <w:t>Ministerstvo vnitra prostřednictvím neinvestičních transferů nestátním neziskovým organizacím podporuje například sbory dobrovolných hasičů, integraci cizinců z třetích zemí a činnosti v oblasti humanitární pomoci.</w:t>
      </w:r>
    </w:p>
    <w:p w14:paraId="09F3F42B" w14:textId="77777777" w:rsidR="00307C13" w:rsidRPr="00972808" w:rsidRDefault="00307C13" w:rsidP="00307C13">
      <w:pPr>
        <w:pStyle w:val="SRTextnomal"/>
      </w:pPr>
      <w:r w:rsidRPr="00972808">
        <w:t>Rozpočtové kapitoly Grantová agentura ČR a Technologická agentura ČR předpokládají poskytování dotací i v roce 2027, avšak z technických důvodů nyní rozpočtují tyto výdaje na jiných položkách.</w:t>
      </w:r>
    </w:p>
    <w:p w14:paraId="09AA11AE" w14:textId="3EAF2516" w:rsidR="001A2AB5" w:rsidRPr="00972808" w:rsidRDefault="003B6D10" w:rsidP="000D440D">
      <w:pPr>
        <w:pStyle w:val="SRTitulek1"/>
        <w:rPr>
          <w:i/>
        </w:rPr>
      </w:pPr>
      <w:bookmarkStart w:id="189" w:name="_Toc239067891"/>
      <w:r w:rsidRPr="00972808">
        <w:t>Tabulka</w:t>
      </w:r>
      <w:r w:rsidR="001A2AB5" w:rsidRPr="00972808">
        <w:t xml:space="preserve"> </w:t>
      </w:r>
      <w:r w:rsidR="00391DA8" w:rsidRPr="00972808">
        <w:fldChar w:fldCharType="begin"/>
      </w:r>
      <w:r w:rsidR="00391DA8" w:rsidRPr="00972808">
        <w:instrText xml:space="preserve"> SEQ Tabulka \* ARABIC </w:instrText>
      </w:r>
      <w:r w:rsidR="00391DA8" w:rsidRPr="00972808">
        <w:fldChar w:fldCharType="separate"/>
      </w:r>
      <w:r w:rsidR="00344480">
        <w:rPr>
          <w:noProof/>
        </w:rPr>
        <w:t>22</w:t>
      </w:r>
      <w:r w:rsidR="00391DA8" w:rsidRPr="00972808">
        <w:rPr>
          <w:noProof/>
        </w:rPr>
        <w:fldChar w:fldCharType="end"/>
      </w:r>
      <w:r w:rsidR="001A2AB5" w:rsidRPr="00972808">
        <w:t xml:space="preserve"> Neinvestiční transfery neziskovým a podobným organizacím </w:t>
      </w:r>
      <w:r w:rsidR="001A2AB5" w:rsidRPr="00972808">
        <w:rPr>
          <w:i/>
        </w:rPr>
        <w:t>(v mil. Kč)</w:t>
      </w:r>
      <w:bookmarkEnd w:id="188"/>
      <w:bookmarkEnd w:id="189"/>
    </w:p>
    <w:p w14:paraId="5C74EC58" w14:textId="1100563A" w:rsidR="00DF49FF" w:rsidRPr="00972808" w:rsidRDefault="00307C13" w:rsidP="00C717BF">
      <w:pPr>
        <w:pStyle w:val="SRTextnomal"/>
      </w:pPr>
      <w:r w:rsidRPr="00972808">
        <w:rPr>
          <w:noProof/>
        </w:rPr>
        <w:drawing>
          <wp:inline distT="0" distB="0" distL="0" distR="0" wp14:anchorId="1B9551CA" wp14:editId="548F2E04">
            <wp:extent cx="6120130" cy="4837430"/>
            <wp:effectExtent l="0" t="0" r="0" b="1270"/>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130" cy="4837430"/>
                    </a:xfrm>
                    <a:prstGeom prst="rect">
                      <a:avLst/>
                    </a:prstGeom>
                    <a:noFill/>
                    <a:ln>
                      <a:noFill/>
                    </a:ln>
                  </pic:spPr>
                </pic:pic>
              </a:graphicData>
            </a:graphic>
          </wp:inline>
        </w:drawing>
      </w:r>
    </w:p>
    <w:p w14:paraId="105BF4EF" w14:textId="77777777" w:rsidR="00E73E16" w:rsidRPr="00972808" w:rsidRDefault="00E73E16" w:rsidP="00291F89">
      <w:pPr>
        <w:pStyle w:val="SRTextnomal"/>
      </w:pPr>
      <w:bookmarkStart w:id="190" w:name="_Toc80264020"/>
    </w:p>
    <w:p w14:paraId="1612FFAC" w14:textId="77777777" w:rsidR="00307C13" w:rsidRPr="00972808" w:rsidRDefault="00307C13" w:rsidP="00307C13">
      <w:pPr>
        <w:pStyle w:val="SRTextnomal"/>
      </w:pPr>
      <w:r w:rsidRPr="00972808">
        <w:t>Vedle neinvestičních transferů jsou nestátním neziskovým organizacím ze státního rozpočtu poskytovány také</w:t>
      </w:r>
      <w:r w:rsidRPr="00972808">
        <w:rPr>
          <w:b/>
        </w:rPr>
        <w:t xml:space="preserve"> investiční</w:t>
      </w:r>
      <w:r w:rsidRPr="00972808">
        <w:t xml:space="preserve"> </w:t>
      </w:r>
      <w:r w:rsidRPr="00972808">
        <w:rPr>
          <w:b/>
        </w:rPr>
        <w:t>transfery</w:t>
      </w:r>
      <w:r w:rsidRPr="00972808">
        <w:t xml:space="preserve">. V rozpočtu na rok 2027 dosahují celkového objemu 642,7 mil. Kč, což představuje oproti rozpočtu na rok 2026 nárůst o 18,9 %. </w:t>
      </w:r>
    </w:p>
    <w:p w14:paraId="71E72413" w14:textId="77777777" w:rsidR="00307C13" w:rsidRPr="00972808" w:rsidRDefault="00307C13" w:rsidP="00307C13">
      <w:pPr>
        <w:pStyle w:val="SRTextnomal"/>
      </w:pPr>
      <w:r w:rsidRPr="00972808">
        <w:t>Pro investiční transfery neziskovým organizacím obecně platí, že poskytovatelé v době sestavování státního rozpočtu neznají strukturu příjemců dotací, často nemají ještě vypsané příslušné výzvy. Proto nelze částky určené na dotace detailně rozepsat podle rozpočtové skladby. V průběhu roku správci rozpočtových kapitol příslušné částky zapojují do rozpočtu pomocí rozpočtových opatření a dále využívají nároky z nespotřebovaných výdajů.</w:t>
      </w:r>
    </w:p>
    <w:p w14:paraId="4EEC48C7" w14:textId="134FC816" w:rsidR="005C222B" w:rsidRPr="00972808" w:rsidRDefault="005C222B" w:rsidP="000D440D">
      <w:pPr>
        <w:pStyle w:val="SRTitulek1"/>
        <w:rPr>
          <w:i/>
        </w:rPr>
      </w:pPr>
      <w:bookmarkStart w:id="191" w:name="_Toc239067892"/>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23</w:t>
      </w:r>
      <w:r w:rsidR="00391DA8" w:rsidRPr="00972808">
        <w:rPr>
          <w:noProof/>
        </w:rPr>
        <w:fldChar w:fldCharType="end"/>
      </w:r>
      <w:r w:rsidRPr="00972808">
        <w:t xml:space="preserve"> Investiční transfery neziskovým a podobným organizacím </w:t>
      </w:r>
      <w:r w:rsidRPr="00972808">
        <w:rPr>
          <w:i/>
        </w:rPr>
        <w:t>(v mil. Kč)</w:t>
      </w:r>
      <w:bookmarkEnd w:id="190"/>
      <w:bookmarkEnd w:id="191"/>
    </w:p>
    <w:p w14:paraId="75D76DDE" w14:textId="2B91DF5F" w:rsidR="00055515" w:rsidRPr="00972808" w:rsidRDefault="001D2415" w:rsidP="00CE03F0">
      <w:pPr>
        <w:pStyle w:val="SRTextnomal"/>
      </w:pPr>
      <w:r w:rsidRPr="00972808">
        <w:rPr>
          <w:noProof/>
        </w:rPr>
        <w:drawing>
          <wp:inline distT="0" distB="0" distL="0" distR="0" wp14:anchorId="09297A19" wp14:editId="2E1B2318">
            <wp:extent cx="6120130" cy="2907030"/>
            <wp:effectExtent l="0" t="0" r="0" b="762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130" cy="2907030"/>
                    </a:xfrm>
                    <a:prstGeom prst="rect">
                      <a:avLst/>
                    </a:prstGeom>
                    <a:noFill/>
                    <a:ln>
                      <a:noFill/>
                    </a:ln>
                  </pic:spPr>
                </pic:pic>
              </a:graphicData>
            </a:graphic>
          </wp:inline>
        </w:drawing>
      </w:r>
    </w:p>
    <w:p w14:paraId="3C55F5AA" w14:textId="77777777" w:rsidR="002C071D" w:rsidRPr="00972808" w:rsidRDefault="00EA5245" w:rsidP="00D06E57">
      <w:pPr>
        <w:pStyle w:val="SRNadpis2"/>
      </w:pPr>
      <w:bookmarkStart w:id="192" w:name="_Ref81249534"/>
      <w:bookmarkStart w:id="193" w:name="_Ref81249539"/>
      <w:bookmarkStart w:id="194" w:name="_Ref81249548"/>
      <w:bookmarkStart w:id="195" w:name="_Hlk220398523"/>
      <w:bookmarkStart w:id="196" w:name="_Toc239067845"/>
      <w:r w:rsidRPr="00972808">
        <w:t>Státní záruky</w:t>
      </w:r>
      <w:bookmarkEnd w:id="192"/>
      <w:bookmarkEnd w:id="193"/>
      <w:bookmarkEnd w:id="194"/>
      <w:bookmarkEnd w:id="196"/>
    </w:p>
    <w:p w14:paraId="4D21C3D1" w14:textId="77777777" w:rsidR="00713362" w:rsidRPr="00972808" w:rsidRDefault="00713362" w:rsidP="00713362">
      <w:pPr>
        <w:pStyle w:val="SROdrka1"/>
        <w:tabs>
          <w:tab w:val="clear" w:pos="426"/>
        </w:tabs>
        <w:ind w:left="284" w:hanging="284"/>
      </w:pPr>
      <w:bookmarkStart w:id="197" w:name="_Ref209708333"/>
      <w:bookmarkStart w:id="198" w:name="_Hlk220398635"/>
      <w:bookmarkStart w:id="199" w:name="_Ref144553059"/>
      <w:bookmarkStart w:id="200" w:name="_Ref178264483"/>
      <w:bookmarkStart w:id="201" w:name="_Toc52369881"/>
      <w:bookmarkEnd w:id="184"/>
      <w:r w:rsidRPr="00972808">
        <w:t>Kompenzace nákladů vzniklých ČNB v souvislosti s uzavřením a plněním dohod o poskytnutí bilaterálních půjček MMF</w:t>
      </w:r>
    </w:p>
    <w:p w14:paraId="23621A12" w14:textId="77777777" w:rsidR="00713362" w:rsidRPr="00972808" w:rsidRDefault="00713362" w:rsidP="00713362">
      <w:pPr>
        <w:pStyle w:val="SRTextnomal"/>
      </w:pPr>
      <w:r w:rsidRPr="00972808">
        <w:t>Státní záruka se vztahuje na případné kompenzace nákladů České národní bance v návaznosti na poskytnutí bilaterální půjčky Mezinárodnímu měnovému fondu (MMF) na základě usnesení vlády č. 1173 ze dne 16. 11. 2020. Maximální limit půjčky činí 646 mil. EUR. Platnost dohody je do roku 2027. Po ukončení platnosti smlouvy již nelze zahajovat nové čerpání. V čerpání dříve poskytnutých tranší lze pokračovat ještě 10 let po ukončení platnosti smlouvy. Z kompenzační dohody uzavřené mezi MF a ČNB vyplývá, že ze státního rozpočtu by byl z 50 % ČNB hrazen ušlý zisk, náklady na zajištění proti kurzovému riziku a náklady transformační. Půjčka zatím nebyla čerpána, ale s ohledem na současný ekonomický vývoj a nutnost pomoci Ukrajině lze i v roce 2027 a v letech následujících očekávat rostoucí počet žádostí o pomoc vyřizovaných ze strany MMF. Možnost, že k čerpání půjčky dojde, proto nelze vyloučit.  Pro rok 2027 je rozpočtována v kapitole Všeobecná pokladní správa na případné kompenzace ČNB částka 2 mil. Kč.</w:t>
      </w:r>
    </w:p>
    <w:p w14:paraId="058EE2A9" w14:textId="77777777" w:rsidR="00713362" w:rsidRPr="00972808" w:rsidRDefault="00713362" w:rsidP="00713362">
      <w:pPr>
        <w:pStyle w:val="SROdrka1"/>
        <w:tabs>
          <w:tab w:val="clear" w:pos="426"/>
        </w:tabs>
        <w:ind w:left="284" w:hanging="284"/>
      </w:pPr>
      <w:r w:rsidRPr="00972808">
        <w:t>Platby mezinárodním finančním institucím a fondům - záruky za úvěry Evropské investiční banky (EIB) zemím Afriky, Karibiku a Pacifiku</w:t>
      </w:r>
    </w:p>
    <w:p w14:paraId="559A10C2" w14:textId="77777777" w:rsidR="00713362" w:rsidRPr="00972808" w:rsidRDefault="00713362" w:rsidP="00713362">
      <w:pPr>
        <w:pStyle w:val="SRTextnomal"/>
      </w:pPr>
      <w:r w:rsidRPr="00972808">
        <w:rPr>
          <w:bCs/>
        </w:rPr>
        <w:t xml:space="preserve">Podobu státní záruky má také financování záruk členských zemí EU na úvěry poskytnuté EIB zemím skupiny ACP a OCT. </w:t>
      </w:r>
      <w:r w:rsidRPr="00972808">
        <w:t>Povinnost přispívat svým podílem na případné krytí garancí poskytnutých EIB na její operace v zemích skupiny Afriky, Karibiku a Pacifiku (ACP) vyplývá pro ČR z Dohody z Cotonou uzavřené mezi EU a zeměmi skupiny ACP v roce 2000 a po následných revizích v 5letých cyklech. Česká republika stejně jako ostatní členské země EU uzavřela s EIB dne 24. 11. 2014 dvě implementační smlouvy, které pokrývají záruky vyplývající ze smluv uzavřených v období 2014–2020; tj. Smlouvu o poskytnutí záruky a Smlouvu o správě nedoplatků, na jejichž základě budou případné záruky uhrazeny. Za účelem pokrytí možné výzvy EIB k realizaci záruk je rozpočtována v kapitole VPS částka 10 mil. Kč v rámci výdajové položky Platby mezinárodním finančním institucím a fondům.</w:t>
      </w:r>
    </w:p>
    <w:p w14:paraId="1281D87E" w14:textId="77777777" w:rsidR="00713362" w:rsidRPr="00972808" w:rsidRDefault="00713362" w:rsidP="00713362">
      <w:pPr>
        <w:pStyle w:val="SROdrka1"/>
        <w:tabs>
          <w:tab w:val="clear" w:pos="426"/>
        </w:tabs>
        <w:ind w:left="284" w:hanging="284"/>
      </w:pPr>
      <w:r w:rsidRPr="00972808">
        <w:t>Státní záruka ze zákona č. 228/2020 Sb., o poskytnutí státní záruky na zajištění dluhů Českomoravskou záruční a rozvojovou bankou, a. s. (nově Národní rozvojovou bankou, a.s.)</w:t>
      </w:r>
    </w:p>
    <w:p w14:paraId="1A5B1079" w14:textId="77777777" w:rsidR="00713362" w:rsidRPr="00972808" w:rsidRDefault="00713362" w:rsidP="00713362">
      <w:pPr>
        <w:pStyle w:val="SRTextnomal"/>
      </w:pPr>
      <w:r w:rsidRPr="00972808">
        <w:t>Program COVID III byl schválen usnesením vlády České republiky č. 553 ze dne 18. 5. 2020 v návaznosti na zákon č. 228/2020 Sb., o poskytnutí státní záruky České republiky na zajištění dluhů Českomoravské záruční a rozvojové banky, a.s. (nově Národní rozvojové banky, a.s.), vyplývajících z ručení za dluhy z úvěrů v souvislosti se zmírněním negativních dopadů způsobených virem SARS CoV-2. Podpora byla realizována formou portfoliové záruky Národní rozvojové banky, a.s. (NRB) k úvěrům komerčních bank, poskytnutých podnikatelům postižených dopady koronavirové nákazy.</w:t>
      </w:r>
    </w:p>
    <w:p w14:paraId="3293BC5D" w14:textId="77777777" w:rsidR="00713362" w:rsidRPr="00972808" w:rsidRDefault="00713362" w:rsidP="00713362">
      <w:pPr>
        <w:pStyle w:val="SRTextnomal"/>
      </w:pPr>
      <w:r w:rsidRPr="00972808">
        <w:t xml:space="preserve">Agregované výzvy jsou NRB zasílány </w:t>
      </w:r>
      <w:r w:rsidRPr="00972808">
        <w:rPr>
          <w:bCs/>
        </w:rPr>
        <w:t xml:space="preserve">Ministerstvu průmyslu a obchodu se čtvrtletní pravidelností vždy za uplynulé období, přičemž komerční banky mohou uplatnit žádosti o plnění do 31. 12. 2027. Poslední Agregovaná výzva bude administrována nejpozději ke dni 30. 6. 2028, kdy bude program COVID III zcela vypořádán. </w:t>
      </w:r>
      <w:r w:rsidRPr="00972808">
        <w:t>Předpokládané plnění do tohoto data, tedy za celou dobu trvání programu, je odhadováno až do výše 14,3 mld. Kč (provozní i investiční část).</w:t>
      </w:r>
    </w:p>
    <w:p w14:paraId="68ADFD6C" w14:textId="77777777" w:rsidR="00713362" w:rsidRPr="00972808" w:rsidRDefault="00713362" w:rsidP="00713362">
      <w:pPr>
        <w:pStyle w:val="SRTextnomal"/>
      </w:pPr>
      <w:r w:rsidRPr="00972808">
        <w:lastRenderedPageBreak/>
        <w:t>Agregované výzvy I. – VI. byly hrazeny z inkasovaných poplatků, které NRB účtuje soukromým bankám za zařazení poskytnutých úvěrů do zaručovaného portfolia. Od sedmé agregované výzvy (za 3. čtvrtletí roku 2022) již probíhá úhrada z těchto poplatků pouze částečně (s výjimkou výzev XIV a XV, které byly hrazeny též z inkasovaných poplatků). Uvolnění zbývajících peněžních prostředků z kapitoly Všeobecná pokladní správa z výdajové položky Vládní rozpočtová rezerva je vždy schvalováno usnesením vlády. Stejným způsobem bude zajištěno případné rozpočtové krytí v roce 2027.</w:t>
      </w:r>
    </w:p>
    <w:p w14:paraId="75DFF691" w14:textId="77777777" w:rsidR="00713362" w:rsidRPr="00972808" w:rsidRDefault="00713362" w:rsidP="00713362">
      <w:pPr>
        <w:pStyle w:val="SROdrka1"/>
        <w:tabs>
          <w:tab w:val="clear" w:pos="426"/>
        </w:tabs>
        <w:ind w:left="284" w:hanging="284"/>
      </w:pPr>
      <w:r w:rsidRPr="00972808">
        <w:t>Státní záruky ze zákona č. 58/1995 Sb., o pojišťování a financování vývozu se státní podporou</w:t>
      </w:r>
    </w:p>
    <w:p w14:paraId="2C030CD1" w14:textId="77777777" w:rsidR="00713362" w:rsidRPr="00972808" w:rsidRDefault="00713362" w:rsidP="00713362">
      <w:pPr>
        <w:pStyle w:val="SRTextnomal"/>
      </w:pPr>
      <w:r w:rsidRPr="00972808">
        <w:t>Ze zákona č. 58/1995 Sb., o pojišťování a financování vývozu se státní podporou, ve znění pozdějších předpisů, stát ručí podle § 8 za závazky Exportní, garanční a pojišťovací společnosti, a.s. (EGAP) z pojištění vývozních úvěrových rizik, za závazky České exportní banky (ČEB) za splácení finančních zdrojů získaných exportní bankou a za její závazky z ostatních operací na finančních trzích. ČEB předpokládá, že v roce 2027 se tyto závazky zvýší ve srovnání s rokem 2026 o částku 4 mld. Kč na limitní objem 27 mld. Kč. Banka při odhadu státní záruky zohledňuje predikci obchodní aktivity, která vychází z aktualizované základní varianty výhledu hospodaření. Rizikem těchto záruk je pro státní rozpočet plnění v případě, že by exportní banka nemohla splácet své závazky. Pojistná kapacita EGAP je navržena pro rok 2027 ve výši 200 mld. Kč, jedná se o stejnou částku jako v roce 2026. Rozpočtová pojistná kapacita představuje v souladu se zákonem maximální horní limit veškeré pojistné angažovanosti a sama o sobě nevytváří žádné další požadavky na peněžní prostředky ze státního rozpočtu.</w:t>
      </w:r>
    </w:p>
    <w:p w14:paraId="0C0F7663" w14:textId="77777777" w:rsidR="00713362" w:rsidRPr="00972808" w:rsidRDefault="00713362" w:rsidP="00713362">
      <w:pPr>
        <w:pStyle w:val="SRTextnomal"/>
      </w:pPr>
    </w:p>
    <w:p w14:paraId="483D59E1" w14:textId="77777777" w:rsidR="00713362" w:rsidRPr="00972808" w:rsidRDefault="00713362" w:rsidP="00713362">
      <w:pPr>
        <w:pStyle w:val="SRTextnomal"/>
      </w:pPr>
      <w:r w:rsidRPr="00972808">
        <w:t>Celkový přehled o poskytnutých státních zárukách, jejich objemu, splatnosti a předpokládaných splátkách v roce 2027 obsahuje tabulka č. 20 v Tabulkové části.</w:t>
      </w:r>
    </w:p>
    <w:p w14:paraId="455C6097" w14:textId="47ED76FD" w:rsidR="00D174B5" w:rsidRPr="00972808" w:rsidRDefault="00D174B5" w:rsidP="00D174B5">
      <w:pPr>
        <w:pStyle w:val="SRNadpis2"/>
      </w:pPr>
      <w:bookmarkStart w:id="202" w:name="_Ref238985884"/>
      <w:bookmarkStart w:id="203" w:name="_Toc239067846"/>
      <w:r w:rsidRPr="00972808">
        <w:t>V</w:t>
      </w:r>
      <w:bookmarkEnd w:id="195"/>
      <w:r w:rsidRPr="00972808">
        <w:t>ýdaje na výzkum, vývoj</w:t>
      </w:r>
      <w:r w:rsidR="00884B1D" w:rsidRPr="00972808">
        <w:t>,</w:t>
      </w:r>
      <w:r w:rsidRPr="00972808">
        <w:t xml:space="preserve"> inovace</w:t>
      </w:r>
      <w:bookmarkEnd w:id="197"/>
      <w:r w:rsidR="00884B1D" w:rsidRPr="00972808">
        <w:t xml:space="preserve"> a transfer znalostí</w:t>
      </w:r>
      <w:bookmarkEnd w:id="202"/>
      <w:bookmarkEnd w:id="203"/>
    </w:p>
    <w:p w14:paraId="65B33EF0" w14:textId="37515DC7" w:rsidR="00884B1D" w:rsidRPr="00972808" w:rsidRDefault="00884B1D" w:rsidP="00884B1D">
      <w:pPr>
        <w:pStyle w:val="SRTextnomal"/>
      </w:pPr>
      <w:bookmarkStart w:id="204" w:name="_Toc80264022"/>
      <w:bookmarkStart w:id="205" w:name="_Toc178327519"/>
      <w:r w:rsidRPr="00972808">
        <w:t>Ve státním rozpočtu na rok 2027 jsou na oblast podpory výzkumu, vývoje, inovací a transferu znalostí zahrnuty výdaje v celkovém objemu 51,2 mld. Kč, což oproti roku 2026 představuje snížení o 1,</w:t>
      </w:r>
      <w:r w:rsidR="00741F7D" w:rsidRPr="00972808">
        <w:t>4</w:t>
      </w:r>
      <w:r w:rsidRPr="00972808">
        <w:t> mld. Kč (tj. o 2,</w:t>
      </w:r>
      <w:r w:rsidR="00741F7D" w:rsidRPr="00972808">
        <w:t>7</w:t>
      </w:r>
      <w:r w:rsidRPr="00972808">
        <w:t> %). Podíl těchto výdajů na HDP v b. c. pro rok 2027dosahuje 0,54 %. Snížení se promítá v zahraničních zdrojích.</w:t>
      </w:r>
    </w:p>
    <w:p w14:paraId="560BB54A" w14:textId="0FF4CA33" w:rsidR="00884B1D" w:rsidRPr="00972808" w:rsidRDefault="00D174B5" w:rsidP="00884B1D">
      <w:pPr>
        <w:pStyle w:val="SRTitulek1"/>
        <w:rPr>
          <w:i/>
        </w:rPr>
      </w:pPr>
      <w:bookmarkStart w:id="206" w:name="_Toc239067893"/>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24</w:t>
      </w:r>
      <w:r w:rsidR="00391DA8" w:rsidRPr="00972808">
        <w:rPr>
          <w:noProof/>
        </w:rPr>
        <w:fldChar w:fldCharType="end"/>
      </w:r>
      <w:r w:rsidRPr="00972808">
        <w:t xml:space="preserve"> </w:t>
      </w:r>
      <w:bookmarkEnd w:id="204"/>
      <w:bookmarkEnd w:id="205"/>
      <w:r w:rsidR="00884B1D" w:rsidRPr="00972808">
        <w:t xml:space="preserve">Vývoj výdajů na výzkum, vývoj, inovace a transfer znalostí </w:t>
      </w:r>
      <w:r w:rsidR="00884B1D" w:rsidRPr="00972808">
        <w:rPr>
          <w:i/>
        </w:rPr>
        <w:t>(v mld. Kč)</w:t>
      </w:r>
      <w:bookmarkEnd w:id="206"/>
    </w:p>
    <w:p w14:paraId="7DCD888F" w14:textId="20C52E0D" w:rsidR="00D174B5" w:rsidRPr="00972808" w:rsidRDefault="00A22B12" w:rsidP="00884B1D">
      <w:pPr>
        <w:pStyle w:val="SRTitulek1"/>
      </w:pPr>
      <w:r w:rsidRPr="00972808">
        <w:rPr>
          <w:noProof/>
        </w:rPr>
        <w:drawing>
          <wp:inline distT="0" distB="0" distL="0" distR="0" wp14:anchorId="73D423B1" wp14:editId="03752701">
            <wp:extent cx="6120130" cy="1687830"/>
            <wp:effectExtent l="0" t="0" r="0" b="762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1687830"/>
                    </a:xfrm>
                    <a:prstGeom prst="rect">
                      <a:avLst/>
                    </a:prstGeom>
                    <a:noFill/>
                    <a:ln>
                      <a:noFill/>
                    </a:ln>
                  </pic:spPr>
                </pic:pic>
              </a:graphicData>
            </a:graphic>
          </wp:inline>
        </w:drawing>
      </w:r>
    </w:p>
    <w:p w14:paraId="4CCD4D51" w14:textId="7FBDC75F" w:rsidR="00884B1D" w:rsidRPr="00972808" w:rsidRDefault="00884B1D" w:rsidP="00884B1D">
      <w:pPr>
        <w:pStyle w:val="SRTextnomal"/>
      </w:pPr>
      <w:r w:rsidRPr="00972808">
        <w:t xml:space="preserve">V rámci celkového objemu podpory pro rok 2027 jsou zahrnuty výdaje na předfinancování výdajů krytých příjmy z EU a FM v kapitole Ministerstvo školství, mládeže a tělovýchovy ve výši 4,2 mld. Kč, v kapitole Ministerstvo průmyslu a obchodu ve výši 2 mld. Kč, v kapitolách Technologická agentura ČR ve výši 45,6 mil. Kč, Ministerstvo obrany ve výši 3,2 mil. Kč, Ministerstvo životního prostředí 0,5 mil. Kč, Ministerstvo zemědělství 1,5 mil. Kč, Ministerstvo zdravotnictví 3 mil. Kč a v kapitole Ministerstvo dopravy 1 mil. Kč. </w:t>
      </w:r>
    </w:p>
    <w:p w14:paraId="7B1BF117" w14:textId="77777777" w:rsidR="00884B1D" w:rsidRPr="00972808" w:rsidRDefault="00884B1D" w:rsidP="00884B1D">
      <w:pPr>
        <w:pStyle w:val="SRTextnomal"/>
      </w:pPr>
      <w:r w:rsidRPr="00972808">
        <w:t xml:space="preserve">Výdaje ze státního rozpočtu na podporu výzkumu, vývoje a inovací, bez výdajů krytých příjmy z rozpočtu EU a FM, jsou zajištěny ve výši 45 mld. Kč, ve srovnání s rokem 2026 jsou o 2 mld. Kč vyšší. </w:t>
      </w:r>
    </w:p>
    <w:p w14:paraId="79FD094C" w14:textId="77777777" w:rsidR="00884B1D" w:rsidRPr="00972808" w:rsidRDefault="00884B1D" w:rsidP="00884B1D">
      <w:pPr>
        <w:pStyle w:val="SRTextnomal"/>
      </w:pPr>
      <w:r w:rsidRPr="00972808">
        <w:t xml:space="preserve">V částce 45 mld. Kč jsou zahrnuty výdaje státního rozpočtu na spolufinancování výdajů krytých příjmy z rozpočtu EU a FM v kapitole Ministerstvo školství, mládeže a tělovýchovy ve výši 1,8 mld. Kč a v kapitolách Technologická agentura ČR ve výši 8,2 mil. Kč, Ministerstvo obrany 0,6 mil. Kč, Ministerstvo životního prostředí 0,1 mil. Kč a Ministerstvo zdravotnictví 35 mil. Kč. </w:t>
      </w:r>
    </w:p>
    <w:p w14:paraId="7B5A91E1" w14:textId="4FDFCB4B" w:rsidR="00884B1D" w:rsidRPr="00972808" w:rsidRDefault="00884B1D" w:rsidP="00884B1D">
      <w:pPr>
        <w:pStyle w:val="SRTextnomal"/>
      </w:pPr>
      <w:r w:rsidRPr="00972808">
        <w:t xml:space="preserve">Národní část podpory výzkumu, vývoje, inovací a transferu znalostí je na rok 2027 rozepsána v nové výdajové struktuře podle zákona č. 328/2025 Sb., o výzkumu, vývoji, inovacích a transferu znalostí. K institucionální a účelové podpoře přibyla třetí systémová podpora. </w:t>
      </w:r>
    </w:p>
    <w:p w14:paraId="5C9B6CE2" w14:textId="51CDFE5A" w:rsidR="00884B1D" w:rsidRPr="00972808" w:rsidRDefault="00884B1D" w:rsidP="00884B1D">
      <w:pPr>
        <w:pStyle w:val="SRTextnomal"/>
      </w:pPr>
      <w:r w:rsidRPr="00972808">
        <w:t xml:space="preserve">V rámci národní části podpory byly podle aktuálních ekonomických parametrů zohledněny potřeby napříč systémem výzkumu, vývoje, inovací a transferu znalostí. V rámci účelové podpory byla vzata v úvahu podpora základního </w:t>
      </w:r>
      <w:r w:rsidRPr="00972808">
        <w:lastRenderedPageBreak/>
        <w:t xml:space="preserve">i aplikovaného výzkumu. V rámci výdajů na obranu státu jsou v kapitole Technologická agentura ČR zajištěny výdaje na krytí programu PRODEF Ministerstva obrany ve výši 100 mil. Kč a pokryty aktuální potřeby výzkumu v rámci výdajů Ministerstva obrany. Výdaje na dlouhodobý koncepční rozvoj výzkumných organizací činí v kapitolách poskytovatelů podpory částku celkem 19,9 mld. Kč, proti předchozímu roku o 1,8 mld. Kč vyšší. Zvýšení je částečně způsobeno novou strukturou podpory. Největší díl spolufinancování zahraničních zdrojů patří tradičně národní části spolufinancování Operačního programu Jana Ámose Komenského v kapitole Ministerstvo školství, mládeže a tělovýchovy ve výši 1,7 mld. Kč. </w:t>
      </w:r>
    </w:p>
    <w:p w14:paraId="51ACF597" w14:textId="46ADF4AC" w:rsidR="00884B1D" w:rsidRPr="00972808" w:rsidRDefault="00884B1D" w:rsidP="00884B1D">
      <w:pPr>
        <w:pStyle w:val="SRTextnomal"/>
      </w:pPr>
      <w:r w:rsidRPr="00972808">
        <w:t>Dle nové výdajové struktury podpory výzkumu, vývoje, inovací a transferu znalostí činí podíl institucionální podpory na celkové podpoře 44,2 %, účelové podpory 35,6 % a systémové podpory 20,2 %. Vzájemný poměr institucionální a</w:t>
      </w:r>
      <w:r w:rsidR="00177E3B" w:rsidRPr="00972808">
        <w:t> </w:t>
      </w:r>
      <w:r w:rsidRPr="00972808">
        <w:t>účelové podpory je stále vyšší ve prospěch institucionální podpory, což odpovídá požadovanému trendu.</w:t>
      </w:r>
    </w:p>
    <w:p w14:paraId="65466288" w14:textId="77777777" w:rsidR="005273B6" w:rsidRPr="00972808" w:rsidRDefault="005273B6" w:rsidP="005273B6">
      <w:pPr>
        <w:pStyle w:val="SRTextnomal"/>
      </w:pPr>
    </w:p>
    <w:p w14:paraId="0B85CC63" w14:textId="36BD5E78" w:rsidR="00D174B5" w:rsidRPr="00972808" w:rsidRDefault="00D174B5" w:rsidP="00D174B5">
      <w:pPr>
        <w:pStyle w:val="SRTitulek1"/>
        <w:rPr>
          <w:i/>
        </w:rPr>
      </w:pPr>
      <w:bookmarkStart w:id="207" w:name="_Toc178327545"/>
      <w:bookmarkStart w:id="208" w:name="_Toc239067930"/>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21</w:t>
      </w:r>
      <w:r w:rsidR="00391DA8" w:rsidRPr="00972808">
        <w:rPr>
          <w:noProof/>
        </w:rPr>
        <w:fldChar w:fldCharType="end"/>
      </w:r>
      <w:r w:rsidRPr="00972808">
        <w:t xml:space="preserve"> </w:t>
      </w:r>
      <w:bookmarkStart w:id="209" w:name="OLE_LINK1"/>
      <w:bookmarkEnd w:id="207"/>
      <w:r w:rsidR="00884B1D" w:rsidRPr="00972808">
        <w:t xml:space="preserve">Rozdělení výdajů na výzkum, vývoj, inovace a transfer znalostí dle institucionální, účelové a systémové podpory a výdajů krytých zahraničními zdroji </w:t>
      </w:r>
      <w:r w:rsidR="00884B1D" w:rsidRPr="00972808">
        <w:rPr>
          <w:i/>
        </w:rPr>
        <w:t>(v mld. Kč)</w:t>
      </w:r>
      <w:bookmarkEnd w:id="209"/>
      <w:bookmarkEnd w:id="208"/>
    </w:p>
    <w:p w14:paraId="6951CE01" w14:textId="0F11AFEF" w:rsidR="00906CF0" w:rsidRPr="00972808" w:rsidRDefault="00884B1D" w:rsidP="00D174B5">
      <w:pPr>
        <w:pStyle w:val="SRTextnomal"/>
      </w:pPr>
      <w:r w:rsidRPr="00972808">
        <w:rPr>
          <w:noProof/>
        </w:rPr>
        <w:drawing>
          <wp:inline distT="0" distB="0" distL="0" distR="0" wp14:anchorId="4AC7113A" wp14:editId="4A07AC65">
            <wp:extent cx="5965299" cy="526542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73330" cy="5272509"/>
                    </a:xfrm>
                    <a:prstGeom prst="rect">
                      <a:avLst/>
                    </a:prstGeom>
                    <a:noFill/>
                  </pic:spPr>
                </pic:pic>
              </a:graphicData>
            </a:graphic>
          </wp:inline>
        </w:drawing>
      </w:r>
    </w:p>
    <w:p w14:paraId="7BA6C2B4" w14:textId="77777777" w:rsidR="00906CF0" w:rsidRPr="00972808" w:rsidRDefault="00906CF0">
      <w:pPr>
        <w:spacing w:after="0"/>
        <w:jc w:val="left"/>
      </w:pPr>
      <w:r w:rsidRPr="00972808">
        <w:br w:type="page"/>
      </w:r>
    </w:p>
    <w:p w14:paraId="5CC13AA1" w14:textId="044161D4" w:rsidR="002F5A3D" w:rsidRPr="00972808" w:rsidRDefault="006B0F86" w:rsidP="002F5A3D">
      <w:pPr>
        <w:pStyle w:val="SRNadpis2"/>
      </w:pPr>
      <w:bookmarkStart w:id="210" w:name="_Ref207116811"/>
      <w:bookmarkStart w:id="211" w:name="_Hlk220398670"/>
      <w:bookmarkStart w:id="212" w:name="_Toc239067847"/>
      <w:bookmarkEnd w:id="198"/>
      <w:r w:rsidRPr="00972808">
        <w:lastRenderedPageBreak/>
        <w:t>Výdaje na obranu státu</w:t>
      </w:r>
      <w:bookmarkStart w:id="213" w:name="_Toc229043331"/>
      <w:bookmarkStart w:id="214" w:name="_Toc10202242"/>
      <w:bookmarkStart w:id="215" w:name="_Toc80264025"/>
      <w:bookmarkEnd w:id="199"/>
      <w:bookmarkEnd w:id="200"/>
      <w:bookmarkEnd w:id="210"/>
      <w:bookmarkEnd w:id="212"/>
    </w:p>
    <w:p w14:paraId="75CCDE72" w14:textId="77777777" w:rsidR="002F5A3D" w:rsidRPr="00972808" w:rsidRDefault="002F5A3D" w:rsidP="002F5A3D">
      <w:pPr>
        <w:pStyle w:val="SRTextnomal"/>
      </w:pPr>
      <w:r w:rsidRPr="00972808">
        <w:t>Na summitu NATO v Haagu v červnu 2025 byl schválen nový závazek členských států spočívající v postupném navyšování výdajů na obranu a do roku 2035 dosažení úrovně minimálně:</w:t>
      </w:r>
    </w:p>
    <w:p w14:paraId="4F7EAC55" w14:textId="48FC85AF" w:rsidR="002F5A3D" w:rsidRPr="00972808" w:rsidRDefault="002F5A3D" w:rsidP="002F5A3D">
      <w:pPr>
        <w:pStyle w:val="SROdrka1"/>
      </w:pPr>
      <w:r w:rsidRPr="00972808">
        <w:t xml:space="preserve">3,5 % HDP – </w:t>
      </w:r>
      <w:r w:rsidR="003A3AB7" w:rsidRPr="00972808">
        <w:t>výdaje na obranu státu</w:t>
      </w:r>
      <w:r w:rsidRPr="00972808">
        <w:t xml:space="preserve">; </w:t>
      </w:r>
    </w:p>
    <w:p w14:paraId="49A60887" w14:textId="2CBD8935" w:rsidR="002F5A3D" w:rsidRPr="00972808" w:rsidRDefault="002F5A3D" w:rsidP="002F5A3D">
      <w:pPr>
        <w:pStyle w:val="SROdrka1"/>
      </w:pPr>
      <w:r w:rsidRPr="00972808">
        <w:t>1,5 % HDP – další výdaje související s obranou a bezpečností.</w:t>
      </w:r>
    </w:p>
    <w:p w14:paraId="6377CFD3" w14:textId="04F119F9" w:rsidR="002D0E57" w:rsidRPr="00972808" w:rsidRDefault="002D0E57" w:rsidP="002D0E57">
      <w:pPr>
        <w:pStyle w:val="SRTextnomal"/>
      </w:pPr>
      <w:r w:rsidRPr="00972808">
        <w:t xml:space="preserve">Česká republika jako celek předpokládá v roce 2027 vynaložit na obranu státu 3,86 </w:t>
      </w:r>
      <w:r w:rsidR="00645E54" w:rsidRPr="00972808">
        <w:t xml:space="preserve">% </w:t>
      </w:r>
      <w:r w:rsidRPr="00972808">
        <w:t>HDP.</w:t>
      </w:r>
    </w:p>
    <w:p w14:paraId="36FE5781" w14:textId="37AB505D" w:rsidR="002F5A3D" w:rsidRPr="00972808" w:rsidRDefault="002F5A3D" w:rsidP="002F5A3D">
      <w:pPr>
        <w:pStyle w:val="SRNadpis3"/>
      </w:pPr>
      <w:bookmarkStart w:id="216" w:name="_Toc239067848"/>
      <w:r w:rsidRPr="00972808">
        <w:t>Výdaje na obranu státu</w:t>
      </w:r>
      <w:bookmarkEnd w:id="213"/>
      <w:r w:rsidRPr="00972808">
        <w:t xml:space="preserve"> </w:t>
      </w:r>
      <w:r w:rsidR="00AF1C9B" w:rsidRPr="00972808">
        <w:t xml:space="preserve">- </w:t>
      </w:r>
      <w:r w:rsidRPr="00972808">
        <w:t>závazný průřezový ukazatel</w:t>
      </w:r>
      <w:r w:rsidR="00AF1C9B" w:rsidRPr="00972808">
        <w:t xml:space="preserve"> ve státním rozpočtu</w:t>
      </w:r>
      <w:bookmarkEnd w:id="216"/>
    </w:p>
    <w:p w14:paraId="3B2650D1" w14:textId="2AA9F57F" w:rsidR="00557917" w:rsidRPr="00972808" w:rsidRDefault="00557917" w:rsidP="002F5A3D">
      <w:pPr>
        <w:pStyle w:val="SRTextnomal"/>
      </w:pPr>
      <w:r w:rsidRPr="00972808">
        <w:t xml:space="preserve">Při stanovení celkových výdajů na obranu státu bylo postupováno v souladu se zákonem č. 177/2023 Sb., o financování obrany České republiky. Výdaje na obranu státu mají být plánovány v minimální výši 2 % nominálního HDP vyčísleného pro rok 2027 na základě prognózy v Rozpočtové strategii sektoru veřejných institucí podle zákona o pravidlech rozpočtové odpovědnosti. </w:t>
      </w:r>
    </w:p>
    <w:p w14:paraId="47F72596" w14:textId="77777777" w:rsidR="00557917" w:rsidRPr="00972808" w:rsidRDefault="00557917" w:rsidP="002F5A3D">
      <w:pPr>
        <w:pStyle w:val="SRTextnomal"/>
      </w:pPr>
      <w:r w:rsidRPr="00972808">
        <w:t xml:space="preserve">V návrhu státního rozpočtu na rok 2027 je na výdaje na obranu státu (rozpočtované v závazném průřezovém ukazateli Výdaje na obranu státu) vyčleněna částka 194 663,6 mil. Kč (bez prostředků EU), což odpovídá 2,04 % HDP predikovaného v Rozpočtové strategii. Výdaje na obranu státu jsou identifikovány u rozpočtových kapitol dle níže uvedené tabulky, největší podíl na nich tvoří každoročně výdaje kapitoly Ministerstvo obrany. </w:t>
      </w:r>
    </w:p>
    <w:p w14:paraId="6F69C627" w14:textId="77777777" w:rsidR="00557917" w:rsidRPr="00972808" w:rsidRDefault="00557917" w:rsidP="002F5A3D">
      <w:pPr>
        <w:pStyle w:val="SRTextnomal"/>
      </w:pPr>
      <w:r w:rsidRPr="00972808">
        <w:t xml:space="preserve">Oproti letům 2024–2026 nejsou do obranných výdajů zahrnovány celkové výdaje kapitol Správa státních hmotných rezerv, Národní úřad pro kybernetickou a informační bezpečnost a Národní bezpečnostní úřad. Dále dochází ke snížení výdajů na obranu určených na dopravní infrastrukturu, které byly plánovány v rámci výdajů kapitoly Ministerstva dopravy. K přehodnocení tohoto přístupu došlo na základě závěrů posouzení uznatelnosti vykázaných obranných výdajů za rok 2024 ze strany NATO, které byly zveřejněny až v první polovině letošního roku. Z uvedeného důvodu jsou v kapitolách Správa státních hmotných rezerv, Národní úřad pro kybernetickou a informační bezpečnost a Ministerstvo dopravy do obranných výdajů zahrnuty pouze konkrétní výdaje, které Ministerstvo obrany identifikovalo jako uznatelné. </w:t>
      </w:r>
    </w:p>
    <w:p w14:paraId="47E3BE21" w14:textId="77777777" w:rsidR="00557917" w:rsidRPr="00972808" w:rsidRDefault="00557917" w:rsidP="002F5A3D">
      <w:pPr>
        <w:pStyle w:val="SRTextnomal"/>
      </w:pPr>
      <w:r w:rsidRPr="00972808">
        <w:t>Nad rámec výdajů zahrnutých do příslušného průřezového ukazatele budou jako obranné výdaje Ministerstvem obrany vykázány NATO i další výdaje identifikované v jednotlivých kapitolách státního rozpočtu vládním zmocněncem pro plnění závazků České republiky vůči NATO.</w:t>
      </w:r>
    </w:p>
    <w:p w14:paraId="002ABF6E" w14:textId="73B9089A" w:rsidR="00A81137" w:rsidRPr="00972808" w:rsidRDefault="00A81137" w:rsidP="00A81137">
      <w:pPr>
        <w:pStyle w:val="SRTitulek1"/>
      </w:pPr>
      <w:bookmarkStart w:id="217" w:name="_Toc239067894"/>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25</w:t>
      </w:r>
      <w:r w:rsidR="00391DA8" w:rsidRPr="00972808">
        <w:rPr>
          <w:noProof/>
        </w:rPr>
        <w:fldChar w:fldCharType="end"/>
      </w:r>
      <w:r w:rsidR="006B0F86" w:rsidRPr="00972808">
        <w:t xml:space="preserve"> Výdaje</w:t>
      </w:r>
      <w:r w:rsidRPr="00972808">
        <w:t xml:space="preserve"> na obranu</w:t>
      </w:r>
      <w:bookmarkEnd w:id="214"/>
      <w:r w:rsidRPr="00972808">
        <w:t xml:space="preserve"> </w:t>
      </w:r>
      <w:r w:rsidR="006B0F86" w:rsidRPr="00972808">
        <w:t xml:space="preserve">státu </w:t>
      </w:r>
      <w:r w:rsidR="00AB6908" w:rsidRPr="00972808">
        <w:t xml:space="preserve">(závazný průřezový ukazatel) </w:t>
      </w:r>
      <w:r w:rsidR="006B0F86" w:rsidRPr="00972808">
        <w:t xml:space="preserve">podle kapitol státního rozpočtu </w:t>
      </w:r>
      <w:r w:rsidR="00C4799B" w:rsidRPr="00972808">
        <w:rPr>
          <w:i/>
        </w:rPr>
        <w:t>(v</w:t>
      </w:r>
      <w:r w:rsidRPr="00972808">
        <w:rPr>
          <w:i/>
        </w:rPr>
        <w:t xml:space="preserve"> Kč)</w:t>
      </w:r>
      <w:bookmarkEnd w:id="215"/>
      <w:bookmarkEnd w:id="217"/>
    </w:p>
    <w:p w14:paraId="02FE95D0" w14:textId="71FEDA19" w:rsidR="00A81137" w:rsidRPr="00972808" w:rsidRDefault="00880B6F" w:rsidP="0035066E">
      <w:pPr>
        <w:pStyle w:val="SRTextnomal"/>
      </w:pPr>
      <w:r w:rsidRPr="00972808">
        <w:rPr>
          <w:noProof/>
        </w:rPr>
        <w:drawing>
          <wp:inline distT="0" distB="0" distL="0" distR="0" wp14:anchorId="7DA27BC0" wp14:editId="792F296D">
            <wp:extent cx="5579518" cy="4001414"/>
            <wp:effectExtent l="0" t="0" r="254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87166" cy="4006899"/>
                    </a:xfrm>
                    <a:prstGeom prst="rect">
                      <a:avLst/>
                    </a:prstGeom>
                    <a:noFill/>
                    <a:ln>
                      <a:noFill/>
                    </a:ln>
                  </pic:spPr>
                </pic:pic>
              </a:graphicData>
            </a:graphic>
          </wp:inline>
        </w:drawing>
      </w:r>
    </w:p>
    <w:p w14:paraId="763374A2" w14:textId="77777777" w:rsidR="00880B6F" w:rsidRPr="00972808" w:rsidRDefault="00880B6F" w:rsidP="00880B6F">
      <w:pPr>
        <w:pStyle w:val="SRTextnomal"/>
      </w:pPr>
    </w:p>
    <w:p w14:paraId="66EF3112" w14:textId="02C5B813" w:rsidR="00880B6F" w:rsidRPr="00972808" w:rsidRDefault="00880B6F" w:rsidP="00880B6F">
      <w:pPr>
        <w:pStyle w:val="SRTextnomal"/>
      </w:pPr>
      <w:r w:rsidRPr="00972808">
        <w:t>Celkové výdaje kapitoly Ministerstvo obrany jsou stanoveny ve výši 190 921,7 mil. Kč (bez prostředků EU). Oproti schválenému rozpočtu na rok 2026 došlo k nárůstu celkových výdajů o částku 36 130,9 mil. Kč. Výdaje jsou směřovány zejména na rozvoj obranných schopností a modernizaci Armády ČR v rámci specifického ukazatele Zajištění obrany ČR silami Armády ČR ve výši 145 238 mil. Kč, což představuje 76 % plánovaných výdajů kapitoly. Na oblast programového financování je vyčleněno 43 % celkových výdajů, největší objem peněžních prostředků připadá na následující programy reprodukce majetku: Strategický program pozemních sil (32 867,3 mil. Kč), Udržení a rozvoj schopností nadzvukového letectva II (20 135,5 mil. Kč), Udržení a rozvoj schopností logistické podpory (5 320,7 mil. Kč) a Zabezpečení civilně-správní části MO a státní příspěvkové organizace (4 158,2 mil. Kč). V rámci těchto programů budou financovány významné víceleté investiční projekty, např. pořízení pásových bojových vozidel pěchoty CV 90, nákup samohybných děl CAESAR, pořízení protiletadlových kompletů SHORAD, pořízení kolových obrněných vozidel TITUS, nákup spojovacích prostředků CCI, pořízení víceúčelového nadzvukového letounu F-35, modernizace infrastruktury letiště Čáslav, pořízení stacionárních základen MILSATCOM, nákup těžkých terénních vozidel T-815, výstavba a modernizace nemovité infrastruktury Armády ČR.</w:t>
      </w:r>
    </w:p>
    <w:p w14:paraId="013A6CF0" w14:textId="77777777" w:rsidR="00880B6F" w:rsidRPr="00972808" w:rsidRDefault="00880B6F" w:rsidP="00880B6F">
      <w:pPr>
        <w:pStyle w:val="SRTextnomal"/>
      </w:pPr>
      <w:r w:rsidRPr="00972808">
        <w:t>Současně jsou oproti roku 2026 posíleny limity platových prostředků v souvislosti s rozhodnutím o urychlení náboru vojáků z povolání a potřebou zajištění stabilizace jak vojenského, tak civilního personálu resortu Ministerstva obrany.</w:t>
      </w:r>
    </w:p>
    <w:p w14:paraId="3971EE28" w14:textId="60C3E648" w:rsidR="00880B6F" w:rsidRPr="00972808" w:rsidRDefault="00880B6F" w:rsidP="00880B6F">
      <w:pPr>
        <w:pStyle w:val="SRTextnomal"/>
      </w:pPr>
      <w:r w:rsidRPr="00972808">
        <w:t>V kapitole Bezpečnostní informační služba jsou rozpočtovány obranné výdaje ve výši 370 mil. Kč, a to na financování činností, které přispívají k zajištění obrany a bezpečnosti státu.</w:t>
      </w:r>
    </w:p>
    <w:p w14:paraId="62CA4C7F" w14:textId="77777777" w:rsidR="00880B6F" w:rsidRPr="00972808" w:rsidRDefault="00880B6F" w:rsidP="00880B6F">
      <w:pPr>
        <w:pStyle w:val="SRTextnomal"/>
      </w:pPr>
      <w:r w:rsidRPr="00972808">
        <w:t>V kapitole Ministerstvo zahraničních věcí jsou na obranné výdaje vyčleněny prostředky ve výši 962,2 mil. Kč. Tyto prostředky jsou určeny na příspěvky do civilního rozpočtu NATO, výdaje spojené s činností Stálé delegace ČR při NATO v Bruselu a Kontaktní ambasády NATO, peněžní dary do svěřenských fondů NATO, vysílání stážistů, transformaci registru utajovaných informací NATO v ústředí Ministerstva zahraničních věcí, zajištění vrcholných návštěv, podporu misí NATO při Africké unii a financování vybraných IT systémů.</w:t>
      </w:r>
    </w:p>
    <w:p w14:paraId="05E592E2" w14:textId="77777777" w:rsidR="00880B6F" w:rsidRPr="00972808" w:rsidRDefault="00880B6F" w:rsidP="00880B6F">
      <w:pPr>
        <w:pStyle w:val="SRTextnomal"/>
      </w:pPr>
      <w:r w:rsidRPr="00972808">
        <w:t xml:space="preserve">V rámci kapitoly Ministerstvo vnitra je na obranné výdaje alokována částka 827,3 mil. Kč. Tyto prostředky jsou určeny na rozvoj informačního systému pro utajované spojení a pro civilně vojenskou spolupráci včetně podpory Host Nation Support (dále jen „HNS“), obranu proti bezpilotním leteckým prostředkům, pořízení lehkých obrněných transportérů, investice do modernizace výcvikového zařízení, financování činnosti styčného důstojníka Hasičského záchranného sboru ČR v NATO aj. </w:t>
      </w:r>
    </w:p>
    <w:p w14:paraId="5340AD69" w14:textId="77777777" w:rsidR="00880B6F" w:rsidRPr="00972808" w:rsidRDefault="00880B6F" w:rsidP="00880B6F">
      <w:pPr>
        <w:pStyle w:val="SRTextnomal"/>
      </w:pPr>
      <w:r w:rsidRPr="00972808">
        <w:t>Kapitola Ministerstvo průmyslu a obchodu má rozpočtovány obranné výdaje ve výši 30,3 mil. Kč na zajištění agendy podpory průmyslové spolupráce a realizaci projektů ekonomické diplomacie (PROPED).</w:t>
      </w:r>
    </w:p>
    <w:p w14:paraId="73496FA8" w14:textId="77777777" w:rsidR="00880B6F" w:rsidRPr="00972808" w:rsidRDefault="00880B6F" w:rsidP="00880B6F">
      <w:pPr>
        <w:pStyle w:val="SRTextnomal"/>
      </w:pPr>
      <w:r w:rsidRPr="00972808">
        <w:t>V kapitole Ministerstvo dopravy jsou obranné výdaje ve výši 119,1 mil. Kč určeny na poskytování letových provozních služeb letům osvobozených od zpoplatnění ve vzdušném prostoru ČR (přelety NATO) a výcvik řídících letového provozu Armády ČR. S ohledem na závěry z vyhodnocení uznatelnosti obranných výdajů ze strany NATO nejsou do výdajů na obranu roku 2027 zahrnuty výdaje na dopravní infrastrukturu potřebnou pro zajištění obranyschopnosti a její přípravu k plnění závazků vyplývajících z HNS.</w:t>
      </w:r>
    </w:p>
    <w:p w14:paraId="634D6A0E" w14:textId="77777777" w:rsidR="00880B6F" w:rsidRPr="00972808" w:rsidRDefault="00880B6F" w:rsidP="00880B6F">
      <w:pPr>
        <w:pStyle w:val="SRTextnomal"/>
      </w:pPr>
      <w:r w:rsidRPr="00972808">
        <w:t>V kapitole Ministerstvo zdravotnictví je rozpočtováno 40,5 mil. Kč na pořízení převozových vozů (sanitky, autobusy) využitelných pro poskytování podpory hostitelskou zemí a v krizových stavech.</w:t>
      </w:r>
    </w:p>
    <w:p w14:paraId="2BEA75D3" w14:textId="77777777" w:rsidR="00880B6F" w:rsidRPr="00972808" w:rsidRDefault="00880B6F" w:rsidP="00880B6F">
      <w:pPr>
        <w:pStyle w:val="SRTextnomal"/>
      </w:pPr>
      <w:r w:rsidRPr="00972808">
        <w:t>V kapitole Správa státních hmotných rezerv jsou obranné výdaje ve výši 595,0 mil. Kč určeny na zabezpečení potřeb ozbrojených sil (náklady na nákup mobilizačních rezerv, včetně obměn a záměn, náklady na uchování výrobních schopností, skladování aj.), pořízení a ochraňování potravinových komodit pro Ministerstvo obrany, ochraňování pohonných hmot ve skladu v Heřmanově Městci, včetně souvisejících investic.</w:t>
      </w:r>
    </w:p>
    <w:p w14:paraId="5CB6F837" w14:textId="2EDCF8A8" w:rsidR="00880B6F" w:rsidRPr="00972808" w:rsidRDefault="00880B6F" w:rsidP="00880B6F">
      <w:pPr>
        <w:pStyle w:val="SRTextnomal"/>
      </w:pPr>
      <w:r w:rsidRPr="00972808">
        <w:t>V kapitole Technologická agentura ČR jsou obranné výdaje ve výši 100 mil. Kč určeny na realizaci programu PRODEF zaměřeného na podporu výzkumu a vývoje v oblasti obrany.</w:t>
      </w:r>
    </w:p>
    <w:p w14:paraId="725D4AA4" w14:textId="77777777" w:rsidR="00880B6F" w:rsidRPr="00972808" w:rsidRDefault="00880B6F" w:rsidP="00880B6F">
      <w:pPr>
        <w:pStyle w:val="SRTextnomal"/>
      </w:pPr>
      <w:r w:rsidRPr="00972808">
        <w:t>V kapitole Národní úřad pro kybernetickou a informační bezpečnost jsou obranné výdaje ve výši 46,8 mil. Kč alokovány na financování zastoupení úřadu v rámci struktur NATO a projektu BIVOJ.</w:t>
      </w:r>
    </w:p>
    <w:p w14:paraId="00056EAB" w14:textId="0E97BD80" w:rsidR="00880B6F" w:rsidRPr="00972808" w:rsidRDefault="00880B6F" w:rsidP="00880B6F">
      <w:pPr>
        <w:pStyle w:val="SRTextnomal"/>
      </w:pPr>
      <w:r w:rsidRPr="00972808">
        <w:t>V kapitole Všeobecná pokladní správa je rozpočtován příspěvek ČR do Evropského obranného fondu ve výši 650,7</w:t>
      </w:r>
      <w:r w:rsidR="00177E3B" w:rsidRPr="00972808">
        <w:t> </w:t>
      </w:r>
      <w:r w:rsidRPr="00972808">
        <w:t>mil.</w:t>
      </w:r>
      <w:r w:rsidR="00177E3B" w:rsidRPr="00972808">
        <w:t> </w:t>
      </w:r>
      <w:r w:rsidRPr="00972808">
        <w:t>Kč.</w:t>
      </w:r>
    </w:p>
    <w:p w14:paraId="6B73379D" w14:textId="32744C7D" w:rsidR="00880B6F" w:rsidRPr="00972808" w:rsidRDefault="00880B6F" w:rsidP="00880B6F">
      <w:pPr>
        <w:pStyle w:val="SRTextnomal"/>
      </w:pPr>
      <w:r w:rsidRPr="00972808">
        <w:t>V kapitole Národní bezpečnostní úřad není z metodických důvodů v rámci ukazatele Výdaje na obranu státu rozpočtována pro rok 2027 žádná částka. S ohledem na závěry z vyhodnocení uznatelnosti obranných výdajů ze strany NATO bude do výdajů na obranu zahrnuta polovina skutečných výdajů kapitoly. Tento podíl vychází ze skutečnosti, že přibližně polovina bezpečnostních prověrek realizovaných Národním bezpečnostním úřadem je prováděna pro příslušníky resortu Ministerstva obrany. Výjimkou budou peněžní prostředky převedené rozpočtovým opatřením z</w:t>
      </w:r>
      <w:r w:rsidR="00177E3B" w:rsidRPr="00972808">
        <w:t> </w:t>
      </w:r>
      <w:r w:rsidRPr="00972808">
        <w:t>jiných kapitol v průběhu roku jako obranný výdaj, které budou v plné výši zahrnuty přímo do ukazatele Výdaje na obranu státu.</w:t>
      </w:r>
    </w:p>
    <w:p w14:paraId="3E29634B" w14:textId="77777777" w:rsidR="00880B6F" w:rsidRPr="00972808" w:rsidRDefault="00880B6F" w:rsidP="00AB6908">
      <w:pPr>
        <w:pStyle w:val="SRNadpis3"/>
      </w:pPr>
      <w:bookmarkStart w:id="218" w:name="_Toc239067849"/>
      <w:r w:rsidRPr="00972808">
        <w:lastRenderedPageBreak/>
        <w:t>Výdaje související s obranou a bezpečností</w:t>
      </w:r>
      <w:bookmarkEnd w:id="218"/>
    </w:p>
    <w:p w14:paraId="65B4FFD1" w14:textId="77777777" w:rsidR="00880B6F" w:rsidRPr="00972808" w:rsidRDefault="00880B6F" w:rsidP="00880B6F">
      <w:pPr>
        <w:pStyle w:val="SRTextnomal"/>
      </w:pPr>
      <w:r w:rsidRPr="00972808">
        <w:t>Do výdajů souvisejících s obranou a bezpečností mohou být dle definice NATO zahrnovány výdaje na odolnost, civilní obranu a civilní připravenost, rozvoj kapacit, schopností nebo efektivnosti obranného průmyslu, rozšíření obranného inovačního ekosystému, podporu růstu dodavatelů pro obranné účely, dále tvorbu zásob pro udržení výroby obranného a bezpečnostního průmyslu a zásob pro zajištění národní bezpečnosti, vojenskou a finanční pomoc partnerským zemím NATO či na investice v oblasti obrany a bezpečnosti dle definice NATO.</w:t>
      </w:r>
    </w:p>
    <w:p w14:paraId="6BC6DDC0" w14:textId="5380B144" w:rsidR="00880B6F" w:rsidRPr="00972808" w:rsidRDefault="00880B6F" w:rsidP="00880B6F">
      <w:pPr>
        <w:pStyle w:val="SRTextnomal"/>
      </w:pPr>
      <w:r w:rsidRPr="00972808">
        <w:t>Na základě výše uvedeného byla Ministerstvem obrany zpracována Metodika vykazování výdajů souvisejících s obranou a bezpečností, v</w:t>
      </w:r>
      <w:r w:rsidR="00177E3B" w:rsidRPr="00972808">
        <w:t> </w:t>
      </w:r>
      <w:r w:rsidRPr="00972808">
        <w:t xml:space="preserve">rámci které byly identifikovány oblasti výdajů, které lze zařadit mezi výdaje související s obranou a bezpečností. Jedná se o výdaje kapitol Bezpečnostní informační služba, Ministerstvo zahraničních věcí, Ministerstvo financí – Celní správa ČR, Ministerstvo vnitra, Ministerstvo spravedlnosti – vězeňská část, Státní úřad pro jadernou bezpečnost a Generální inspekce bezpečnostních sborů. Dále budou jako výdaje související s obranou a bezpečností vykázány další výdaje identifikované dle příslušné Metodiky a výdaje územně samosprávných celků vykázané v jejich rozpočtech v rámci rozpočtové skupiny „Bezpečnost státu a právní ochrana“. </w:t>
      </w:r>
    </w:p>
    <w:p w14:paraId="0A437797" w14:textId="0C2B91D0" w:rsidR="0035066E" w:rsidRPr="00972808" w:rsidRDefault="00880B6F" w:rsidP="00880B6F">
      <w:pPr>
        <w:pStyle w:val="SRTextnomal"/>
      </w:pPr>
      <w:r w:rsidRPr="00972808">
        <w:t>Výdaje související s obranou a bezpečností jsou vykazovány NATO až po uplynutí daného rozpočtového roku na základě skutečného čerpání a posouzení ze strany Ministerstva obrany. Veškeré výdaje související s obran</w:t>
      </w:r>
      <w:r w:rsidR="003B64F6" w:rsidRPr="00972808">
        <w:t>o</w:t>
      </w:r>
      <w:r w:rsidRPr="00972808">
        <w:t>u a bezpečností, které přesáhnou hranici 1,5 % HDP, se směrem k NATO nevykazují. Důvodem je, že NATO uznává maximálně 1,5 % HDP. Tento přesah má nicméně velmi pozitivní dopad na obranyschopnost a bezpečnost ČR. Předpokládanou výši těchto výdajů v návrhu státního rozpočtu na rok 2027 a odhadovanou výši výdajů územně samosprávných celků na základě skutečného plnění minulého roku uvádí následující tabulka</w:t>
      </w:r>
      <w:r w:rsidR="004F4851" w:rsidRPr="00972808">
        <w:t>.</w:t>
      </w:r>
    </w:p>
    <w:p w14:paraId="445ECBCF" w14:textId="5CF7E733" w:rsidR="00AF1C9B" w:rsidRPr="00972808" w:rsidRDefault="00AF1C9B" w:rsidP="00AF1C9B">
      <w:pPr>
        <w:pStyle w:val="SRTitulek1"/>
      </w:pPr>
      <w:bookmarkStart w:id="219" w:name="_Toc239067895"/>
      <w:r w:rsidRPr="00972808">
        <w:t xml:space="preserve">Tabulka </w:t>
      </w:r>
      <w:r w:rsidRPr="00972808">
        <w:fldChar w:fldCharType="begin"/>
      </w:r>
      <w:r w:rsidRPr="00972808">
        <w:instrText xml:space="preserve"> SEQ Tabulka \* ARABIC </w:instrText>
      </w:r>
      <w:r w:rsidRPr="00972808">
        <w:fldChar w:fldCharType="separate"/>
      </w:r>
      <w:r w:rsidR="00344480">
        <w:rPr>
          <w:noProof/>
        </w:rPr>
        <w:t>26</w:t>
      </w:r>
      <w:r w:rsidRPr="00972808">
        <w:fldChar w:fldCharType="end"/>
      </w:r>
      <w:r w:rsidRPr="00972808">
        <w:t xml:space="preserve"> Výdaje související s obranou a bezpečností ve státním rozpočtu a u ÚSC</w:t>
      </w:r>
      <w:bookmarkEnd w:id="219"/>
    </w:p>
    <w:p w14:paraId="5858D34F" w14:textId="7EFED09C" w:rsidR="00880B6F" w:rsidRPr="00972808" w:rsidRDefault="00880B6F" w:rsidP="0035066E">
      <w:pPr>
        <w:pStyle w:val="SRTextnomal"/>
      </w:pPr>
      <w:r w:rsidRPr="00972808">
        <w:rPr>
          <w:noProof/>
        </w:rPr>
        <w:drawing>
          <wp:inline distT="0" distB="0" distL="0" distR="0" wp14:anchorId="0133E681" wp14:editId="570503ED">
            <wp:extent cx="6120130" cy="2788285"/>
            <wp:effectExtent l="0" t="0" r="0" b="0"/>
            <wp:docPr id="21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130" cy="2788285"/>
                    </a:xfrm>
                    <a:prstGeom prst="rect">
                      <a:avLst/>
                    </a:prstGeom>
                    <a:noFill/>
                    <a:ln>
                      <a:noFill/>
                    </a:ln>
                  </pic:spPr>
                </pic:pic>
              </a:graphicData>
            </a:graphic>
          </wp:inline>
        </w:drawing>
      </w:r>
    </w:p>
    <w:p w14:paraId="506F2524" w14:textId="1DFFC9CD" w:rsidR="007453AB" w:rsidRPr="00972808" w:rsidRDefault="00DF5AF5" w:rsidP="000F3B85">
      <w:pPr>
        <w:pStyle w:val="SRNadpis1"/>
      </w:pPr>
      <w:bookmarkStart w:id="220" w:name="_Ref178318290"/>
      <w:bookmarkStart w:id="221" w:name="_Ref220772256"/>
      <w:bookmarkStart w:id="222" w:name="_Hlk220398726"/>
      <w:bookmarkStart w:id="223" w:name="_Toc239067850"/>
      <w:bookmarkEnd w:id="211"/>
      <w:r w:rsidRPr="00972808">
        <w:lastRenderedPageBreak/>
        <w:t>Komentáře k</w:t>
      </w:r>
      <w:r w:rsidR="00EF6886" w:rsidRPr="00972808">
        <w:t xml:space="preserve"> rozpočtů</w:t>
      </w:r>
      <w:r w:rsidRPr="00972808">
        <w:t>m</w:t>
      </w:r>
      <w:r w:rsidR="00A81137" w:rsidRPr="00972808">
        <w:t xml:space="preserve"> vybraných kapitol státního rozpočtu</w:t>
      </w:r>
      <w:bookmarkEnd w:id="201"/>
      <w:bookmarkEnd w:id="220"/>
      <w:bookmarkEnd w:id="221"/>
      <w:bookmarkEnd w:id="223"/>
    </w:p>
    <w:p w14:paraId="7F32122F" w14:textId="1891A0BD" w:rsidR="00504974" w:rsidRPr="00972808" w:rsidRDefault="00504974" w:rsidP="00504974">
      <w:pPr>
        <w:pStyle w:val="SRNadpis2"/>
      </w:pPr>
      <w:bookmarkStart w:id="224" w:name="_Toc207288307"/>
      <w:bookmarkStart w:id="225" w:name="_Toc239067851"/>
      <w:r w:rsidRPr="00972808">
        <w:t>Komentář k rozpočtu kapitoly Ministerstvo financ</w:t>
      </w:r>
      <w:bookmarkEnd w:id="224"/>
      <w:r w:rsidRPr="00972808">
        <w:t>í</w:t>
      </w:r>
      <w:bookmarkEnd w:id="225"/>
    </w:p>
    <w:p w14:paraId="20F7BF6D" w14:textId="62BF992A" w:rsidR="00AE6C90" w:rsidRPr="00972808" w:rsidRDefault="00AE6C90" w:rsidP="00AE6C90">
      <w:pPr>
        <w:pStyle w:val="SRTitulek1"/>
      </w:pPr>
      <w:bookmarkStart w:id="226" w:name="_Hlk210049726"/>
      <w:bookmarkStart w:id="227" w:name="_Toc52369885"/>
      <w:bookmarkStart w:id="228" w:name="_Toc52369888"/>
      <w:bookmarkStart w:id="229" w:name="_Toc52369882"/>
      <w:bookmarkStart w:id="230" w:name="_Toc239067896"/>
      <w:r w:rsidRPr="00972808">
        <w:t xml:space="preserve">Tabulka </w:t>
      </w:r>
      <w:r w:rsidRPr="00972808">
        <w:fldChar w:fldCharType="begin"/>
      </w:r>
      <w:r w:rsidRPr="00972808">
        <w:instrText xml:space="preserve"> SEQ Tabulka \* ARABIC </w:instrText>
      </w:r>
      <w:r w:rsidRPr="00972808">
        <w:fldChar w:fldCharType="separate"/>
      </w:r>
      <w:r w:rsidR="00344480">
        <w:rPr>
          <w:noProof/>
        </w:rPr>
        <w:t>27</w:t>
      </w:r>
      <w:r w:rsidRPr="00972808">
        <w:fldChar w:fldCharType="end"/>
      </w:r>
      <w:r w:rsidRPr="00972808">
        <w:t xml:space="preserve"> Celkové příjmy a výdaje kapitoly Ministerstvo financí (v mil. Kč)</w:t>
      </w:r>
      <w:bookmarkEnd w:id="230"/>
    </w:p>
    <w:p w14:paraId="10517CE1" w14:textId="73B85A52" w:rsidR="00AE6C90" w:rsidRPr="00972808" w:rsidRDefault="006721EA" w:rsidP="00702405">
      <w:pPr>
        <w:pStyle w:val="StylZa6b"/>
        <w:keepNext/>
      </w:pPr>
      <w:r w:rsidRPr="00972808">
        <w:rPr>
          <w:noProof/>
        </w:rPr>
        <w:drawing>
          <wp:inline distT="0" distB="0" distL="0" distR="0" wp14:anchorId="62EB8B88" wp14:editId="40D52EFB">
            <wp:extent cx="6120130" cy="113030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2D2AD2A8" w14:textId="00667927" w:rsidR="006721EA" w:rsidRPr="00972808" w:rsidRDefault="006721EA" w:rsidP="0035066E">
      <w:pPr>
        <w:pStyle w:val="SRTextnomal"/>
      </w:pPr>
      <w:r w:rsidRPr="00972808">
        <w:t>Příjmy kapitoly jsou navrhovány ve výši 7,8 mld. Kč, tj. pokles o 18,6 % oproti schválenému rozpočtu na rok 2026. Z</w:t>
      </w:r>
      <w:r w:rsidR="00177E3B" w:rsidRPr="00972808">
        <w:t> </w:t>
      </w:r>
      <w:r w:rsidRPr="00972808">
        <w:t>hlediska struktury činí hlavní část příjmů nedaňové příjmy (79,3 %), které jsou pro rok 2027 rozpočtovány ve výši 6,1</w:t>
      </w:r>
      <w:r w:rsidR="00FE1533" w:rsidRPr="00972808">
        <w:t> </w:t>
      </w:r>
      <w:r w:rsidRPr="00972808">
        <w:t>mld. Kč, v nich pak zejména podíl na clu (3,5 mld. Kč), příjem sankčních plateb přijatých Celní správou ČR od jiných osob (1,7</w:t>
      </w:r>
      <w:r w:rsidR="00FE1533" w:rsidRPr="00972808">
        <w:t> </w:t>
      </w:r>
      <w:r w:rsidRPr="00972808">
        <w:t>mld. Kč) a odvod ze státního podniku Státní tiskárna cenin do příjmů ústředního orgánu Ministerstva financí (0,3</w:t>
      </w:r>
      <w:r w:rsidR="00FE1533" w:rsidRPr="00972808">
        <w:t> </w:t>
      </w:r>
      <w:r w:rsidRPr="00972808">
        <w:t>mld. Kč). Důvodem meziročního poklesu příjmů kapitoly je zreálnění předpokládaného výběru cel a odvodu ze státního podniku.</w:t>
      </w:r>
    </w:p>
    <w:p w14:paraId="5EE03E23" w14:textId="7230F5E3" w:rsidR="006721EA" w:rsidRPr="00972808" w:rsidRDefault="006721EA" w:rsidP="0035066E">
      <w:pPr>
        <w:pStyle w:val="SRTextnomal"/>
      </w:pPr>
      <w:r w:rsidRPr="00972808">
        <w:t>Daňové příjmy rozpočtované ve výši 1 mld. Kč se podílejí na plnění celkových příjmů kapitoly 12,5 %. Převážnou část z</w:t>
      </w:r>
      <w:r w:rsidR="00177E3B" w:rsidRPr="00972808">
        <w:t> </w:t>
      </w:r>
      <w:r w:rsidRPr="00972808">
        <w:t xml:space="preserve">nich tvoří příjmy Celní správy ČR z pojistného na důchodové pojištění, nemocenské pojištění a z příspěvků na státní politiku zaměstnanosti (0,9 mld. Kč). </w:t>
      </w:r>
    </w:p>
    <w:p w14:paraId="5BBCAD03" w14:textId="77777777" w:rsidR="006721EA" w:rsidRPr="00972808" w:rsidRDefault="006721EA" w:rsidP="0035066E">
      <w:pPr>
        <w:pStyle w:val="SRTextnomal"/>
      </w:pPr>
      <w:r w:rsidRPr="00972808">
        <w:t xml:space="preserve">Součástí příjmů kapitoly jsou rovněž přijaté transfery a kapitálové příjmy shodně ve výši 0,3 mld. Kč (4,1 % celkových příjmů). U kapitálových příjmů došlo k meziročnímu poklesu o 0,5 mld. Kč vlivem upřesnění odhadu příjmů Úřadu pro zastupování státu ve věcech majetkových z prodeje nemovitostí, jejichž atraktivita klesá, dále se realizují nárokové převody na obce a kraje či směny majetku s nimi. </w:t>
      </w:r>
    </w:p>
    <w:p w14:paraId="7046464C" w14:textId="0A363023" w:rsidR="006721EA" w:rsidRPr="00972808" w:rsidRDefault="006721EA" w:rsidP="0035066E">
      <w:pPr>
        <w:pStyle w:val="SRTextnomal"/>
      </w:pPr>
      <w:r w:rsidRPr="00972808">
        <w:t>Výdaje kapitoly jsou navrhovány ve výši 27,7 mld. Kč, tj. pokles o 2,3 % oproti schválenému rozpočtu na rok 2026. Tento meziroční pokles je způsoben především pořízením administrativní budovy Harfa Business Center a jejími stavebními a</w:t>
      </w:r>
      <w:r w:rsidR="00177E3B" w:rsidRPr="00972808">
        <w:t> </w:t>
      </w:r>
      <w:r w:rsidRPr="00972808">
        <w:t>dispozičními úpravami realizovanými v roce 2026 za účelem dislokace orgánů Finanční správy ČR na území hlavního města Prahy, které vyvolalo jednorázové navýšení rozpočtu o 2,9 mld. Kč.</w:t>
      </w:r>
    </w:p>
    <w:p w14:paraId="5303B543" w14:textId="77777777" w:rsidR="006721EA" w:rsidRPr="00972808" w:rsidRDefault="006721EA" w:rsidP="0035066E">
      <w:pPr>
        <w:pStyle w:val="SRTextnomal"/>
      </w:pPr>
      <w:r w:rsidRPr="00972808">
        <w:t xml:space="preserve">Ve výdajích kapitoly jsou zahrnuty výdaje spolufinancované zcela nebo částečně z rozpočtu Evropské unie a finančních mechanismů, a to celkem ve výši 254 mil. Kč. </w:t>
      </w:r>
    </w:p>
    <w:p w14:paraId="504DBBA8" w14:textId="1D3C06ED" w:rsidR="006721EA" w:rsidRPr="00972808" w:rsidRDefault="006721EA" w:rsidP="0035066E">
      <w:pPr>
        <w:pStyle w:val="SRTextnomal"/>
      </w:pPr>
      <w:r w:rsidRPr="00972808">
        <w:t>Na činnost ústředního orgánu Ministerstva financí jsou navrhovány výdaje ve výši 3,6 mld. Kč, tj. nárůst o 32,1 % oproti schválenému rozpočtu na rok 2026. Hlavním důvodem nárůstu jsou plánované investice resortu v oblasti ICT a</w:t>
      </w:r>
      <w:r w:rsidR="003B64F6" w:rsidRPr="00972808">
        <w:t> </w:t>
      </w:r>
      <w:r w:rsidRPr="00972808">
        <w:t>kybernetické bezpečnosti. Na činnost Finanční správy ČR jsou navrhovány výdaje ve výši 15,2 mld. Kč, tj. pokles o</w:t>
      </w:r>
      <w:r w:rsidR="003B64F6" w:rsidRPr="00972808">
        <w:t> </w:t>
      </w:r>
      <w:r w:rsidRPr="00972808">
        <w:t>11,6</w:t>
      </w:r>
      <w:r w:rsidR="00FE1533" w:rsidRPr="00972808">
        <w:t> </w:t>
      </w:r>
      <w:r w:rsidRPr="00972808">
        <w:t>% oproti schválenému rozpočtu na rok 2026. Na činnost Celní správy ČR jsou navrhovány výdaje ve výši 6,5</w:t>
      </w:r>
      <w:r w:rsidR="003B64F6" w:rsidRPr="00972808">
        <w:t> </w:t>
      </w:r>
      <w:r w:rsidRPr="00972808">
        <w:t>mld.</w:t>
      </w:r>
      <w:r w:rsidR="003B64F6" w:rsidRPr="00972808">
        <w:t> </w:t>
      </w:r>
      <w:r w:rsidRPr="00972808">
        <w:t>Kč, tj.</w:t>
      </w:r>
      <w:r w:rsidR="00177E3B" w:rsidRPr="00972808">
        <w:t> </w:t>
      </w:r>
      <w:r w:rsidRPr="00972808">
        <w:t>nárůst o 2 % oproti schválenému rozpočtu na rok 2026. Výdaje Úřadu pro zastupování státu ve věcech majetkových jsou navrhovány ve výši 2,3 mld. Kč, tj. nárůst o 17 % oproti schválenému rozpočtu na rok 2026. Hlavním důvodem tohoto navýšení je realizace rekonstrukce administrativní budovy nábřeží Edvarda Beneše č. p. 627 v Praze pro Úřad vlády ČR. Na činnost Finančního analytického úřadu a Kanceláře finančního arbitra jsou navrhovány výdaje celkem ve výši 0,2</w:t>
      </w:r>
      <w:r w:rsidR="0035066E" w:rsidRPr="00972808">
        <w:t> </w:t>
      </w:r>
      <w:r w:rsidRPr="00972808">
        <w:t>mld.</w:t>
      </w:r>
      <w:r w:rsidR="0035066E" w:rsidRPr="00972808">
        <w:t> </w:t>
      </w:r>
      <w:r w:rsidRPr="00972808">
        <w:t>Kč, tj. nárůst o 6,4 % oproti schválenému rozpočtu na rok 2026.</w:t>
      </w:r>
    </w:p>
    <w:p w14:paraId="52F0B935" w14:textId="77777777" w:rsidR="00BE47A1" w:rsidRPr="00972808" w:rsidRDefault="00FE1B9E" w:rsidP="004912D7">
      <w:pPr>
        <w:pStyle w:val="SRNadpis2"/>
      </w:pPr>
      <w:bookmarkStart w:id="231" w:name="_Hlk224557494"/>
      <w:bookmarkStart w:id="232" w:name="_Toc239067852"/>
      <w:r w:rsidRPr="00972808">
        <w:lastRenderedPageBreak/>
        <w:t>Komentář k rozpočtu</w:t>
      </w:r>
      <w:r w:rsidR="00BE47A1" w:rsidRPr="00972808">
        <w:t xml:space="preserve"> kapitoly Ministerstvo vnitra</w:t>
      </w:r>
      <w:bookmarkEnd w:id="232"/>
    </w:p>
    <w:p w14:paraId="2C89DB40" w14:textId="3F39F225" w:rsidR="00AE6C90" w:rsidRPr="00972808" w:rsidRDefault="00AE6C90" w:rsidP="00AE6C90">
      <w:pPr>
        <w:pStyle w:val="SRTitulek1"/>
      </w:pPr>
      <w:bookmarkStart w:id="233" w:name="_Toc239067897"/>
      <w:bookmarkEnd w:id="226"/>
      <w:bookmarkEnd w:id="231"/>
      <w:r w:rsidRPr="00972808">
        <w:t xml:space="preserve">Tabulka </w:t>
      </w:r>
      <w:r w:rsidRPr="00972808">
        <w:fldChar w:fldCharType="begin"/>
      </w:r>
      <w:r w:rsidRPr="00972808">
        <w:instrText xml:space="preserve"> SEQ Tabulka \* ARABIC </w:instrText>
      </w:r>
      <w:r w:rsidRPr="00972808">
        <w:fldChar w:fldCharType="separate"/>
      </w:r>
      <w:r w:rsidR="00344480">
        <w:rPr>
          <w:noProof/>
        </w:rPr>
        <w:t>28</w:t>
      </w:r>
      <w:r w:rsidRPr="00972808">
        <w:fldChar w:fldCharType="end"/>
      </w:r>
      <w:r w:rsidRPr="00972808">
        <w:t xml:space="preserve"> Celkové příjmy a výdaje kapitoly Ministerstvo vnitra (v mil. Kč)</w:t>
      </w:r>
      <w:bookmarkEnd w:id="233"/>
    </w:p>
    <w:p w14:paraId="670990A5" w14:textId="6262E5FC" w:rsidR="00AE6C90" w:rsidRPr="00972808" w:rsidRDefault="006721EA" w:rsidP="00702405">
      <w:pPr>
        <w:pStyle w:val="StylZa6b"/>
        <w:keepNext/>
      </w:pPr>
      <w:r w:rsidRPr="00972808">
        <w:rPr>
          <w:noProof/>
        </w:rPr>
        <w:drawing>
          <wp:inline distT="0" distB="0" distL="0" distR="0" wp14:anchorId="6281C118" wp14:editId="0309F7A8">
            <wp:extent cx="6120130" cy="1130300"/>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043291B6" w14:textId="77777777" w:rsidR="006721EA" w:rsidRPr="00972808" w:rsidRDefault="006721EA" w:rsidP="0035066E">
      <w:pPr>
        <w:pStyle w:val="SRTextnomal"/>
      </w:pPr>
      <w:r w:rsidRPr="00972808">
        <w:t>Meziroční rozdíl 2027–2026 příjmů kapitoly je ovlivněn především snížením příjmů z rozpočtu Evropské unie s ohledem na končící programové období 2021–2027. U daňových příjmů (příjmů ze správních poplatků) je navrhováno zvýšení o 500 mil. Kč a u příjmů z pojistného na sociální zabezpečení a příspěvku na státní politiku zaměstnanosti zvýšení o 306,7 mil. Kč související s úpravami platů příslušníků bezpečnostních sborů resortu.</w:t>
      </w:r>
    </w:p>
    <w:p w14:paraId="230C9968" w14:textId="77777777" w:rsidR="006721EA" w:rsidRPr="00972808" w:rsidRDefault="006721EA" w:rsidP="0035066E">
      <w:pPr>
        <w:pStyle w:val="SRTextnomal"/>
      </w:pPr>
      <w:r w:rsidRPr="00972808">
        <w:t>Meziroční rozdíl 2027–2026 výdajů kapitoly je ovlivněn snížením podílu rozpočtu EU na výdajích spolufinancovaných zcela nebo částečně z rozpočtu Evropské unie. Do tohoto rozdílu se dále promítá snížení výdajů na sociální mandatorní výdaje s ohledem na dlouhodobou trajektorii výdajů kapitoly v této oblasti, zejména snížení dávek důchodového pojištění o 700 mil. Kč a zvláštních sociálních dávek příslušníků bezpečnostních sborů resortu při skončení služebního poměru o 1 mld. Kč.</w:t>
      </w:r>
    </w:p>
    <w:p w14:paraId="3565FDA7" w14:textId="18B576F8" w:rsidR="006721EA" w:rsidRPr="00972808" w:rsidRDefault="006721EA" w:rsidP="0035066E">
      <w:pPr>
        <w:pStyle w:val="SRTextnomal"/>
      </w:pPr>
      <w:r w:rsidRPr="00972808">
        <w:t>Návrh výdajů zahrnuje zvýšení objemu prostředků na spolufinancování podílu státního rozpočtu u projektů EU a</w:t>
      </w:r>
      <w:r w:rsidR="00702405" w:rsidRPr="00972808">
        <w:t> </w:t>
      </w:r>
      <w:r w:rsidRPr="00972808">
        <w:t>k zajištění neuznatelných výdajů celkem o 1,5 mld. Kč. Dalším vlivem je zvýšení výdajů na provozní potřeby, investice včetně výdajů k zajištění kyberbezpečnosti celkem o 1,24 mld. Kč.</w:t>
      </w:r>
    </w:p>
    <w:p w14:paraId="24C0C576" w14:textId="77777777" w:rsidR="006721EA" w:rsidRPr="00972808" w:rsidRDefault="006721EA" w:rsidP="0035066E">
      <w:pPr>
        <w:pStyle w:val="SRTextnomal"/>
      </w:pPr>
      <w:r w:rsidRPr="00972808">
        <w:t>Výdaje Policie ČR bez výdajů na sociální dávky, výdajů policejního školství a výdajů Muzea Policie ČR jsou navrhovány ve výši 63,4 mld. Kč, tj. nárůst o 3,8 % oproti schválenému rozpočtu na rok 2026.</w:t>
      </w:r>
    </w:p>
    <w:p w14:paraId="126418E3" w14:textId="77777777" w:rsidR="006721EA" w:rsidRPr="00972808" w:rsidRDefault="006721EA" w:rsidP="0035066E">
      <w:pPr>
        <w:pStyle w:val="SRTextnomal"/>
      </w:pPr>
      <w:r w:rsidRPr="00972808">
        <w:t>Výdaje Hasičského záchranného sboru ČR bez výdajů na sociální dávky jsou navrhovány ve výši 18,4 mld. Kč, tj. nárůst o 7,1 % oproti schválenému rozpočtu na rok 2026. Výdaje investičních transferů pro jednotky sborů dobrovolných hasičů obcí jsou pro rok 2027 zabezpečeny v celkové výši 310 mil. Kč, tj. ve stejné výši jako v roce 2026, v programu 114 32 Investiční účelové dotace pro jednotky sboru dobrovolných hasičů obcí.</w:t>
      </w:r>
    </w:p>
    <w:p w14:paraId="251B67DA" w14:textId="77777777" w:rsidR="006721EA" w:rsidRPr="00972808" w:rsidRDefault="006721EA" w:rsidP="0035066E">
      <w:pPr>
        <w:pStyle w:val="SRTextnomal"/>
      </w:pPr>
      <w:r w:rsidRPr="00972808">
        <w:t>Pro rok 2027 jsou navrhovány výdaje na dávky důchodového pojištění ve výši 11 mld. Kč, na dávky nemocenského pojištění ve výši 318 mil. Kč a na zvláštní sociální dávky příslušníků bezpečnostních sborů při skončení služebního poměru ve výši 10,8 mld. Kč.</w:t>
      </w:r>
    </w:p>
    <w:p w14:paraId="55694A74" w14:textId="77777777" w:rsidR="00BE47A1" w:rsidRPr="00972808" w:rsidRDefault="00FE1B9E" w:rsidP="004912D7">
      <w:pPr>
        <w:pStyle w:val="SRNadpis2"/>
      </w:pPr>
      <w:bookmarkStart w:id="234" w:name="_Toc239067853"/>
      <w:r w:rsidRPr="00972808">
        <w:t xml:space="preserve">Komentář k rozpočtu kapitoly </w:t>
      </w:r>
      <w:r w:rsidR="00BE47A1" w:rsidRPr="00972808">
        <w:t>Ministerstvo životního prostředí</w:t>
      </w:r>
      <w:bookmarkEnd w:id="234"/>
    </w:p>
    <w:p w14:paraId="3B7E44C5" w14:textId="537F80B9" w:rsidR="00AE6C90" w:rsidRPr="00972808" w:rsidRDefault="00AE6C90" w:rsidP="00AE6C90">
      <w:pPr>
        <w:pStyle w:val="SRTitulek1"/>
      </w:pPr>
      <w:bookmarkStart w:id="235" w:name="_Toc239067898"/>
      <w:r w:rsidRPr="00972808">
        <w:t xml:space="preserve">Tabulka </w:t>
      </w:r>
      <w:r w:rsidRPr="00972808">
        <w:fldChar w:fldCharType="begin"/>
      </w:r>
      <w:r w:rsidRPr="00972808">
        <w:instrText xml:space="preserve"> SEQ Tabulka \* ARABIC </w:instrText>
      </w:r>
      <w:r w:rsidRPr="00972808">
        <w:fldChar w:fldCharType="separate"/>
      </w:r>
      <w:r w:rsidR="00344480">
        <w:rPr>
          <w:noProof/>
        </w:rPr>
        <w:t>29</w:t>
      </w:r>
      <w:r w:rsidRPr="00972808">
        <w:fldChar w:fldCharType="end"/>
      </w:r>
      <w:r w:rsidRPr="00972808">
        <w:t xml:space="preserve"> Celkové příjmy a výdaje kapitoly Ministerstvo životního prostředí (v mil. Kč)</w:t>
      </w:r>
      <w:bookmarkEnd w:id="235"/>
    </w:p>
    <w:p w14:paraId="6B8E09FF" w14:textId="04F6DBBB" w:rsidR="00AE6C90" w:rsidRPr="00972808" w:rsidRDefault="006721EA" w:rsidP="00702405">
      <w:pPr>
        <w:pStyle w:val="StylZa6b"/>
        <w:keepNext/>
      </w:pPr>
      <w:r w:rsidRPr="00972808">
        <w:rPr>
          <w:noProof/>
        </w:rPr>
        <w:drawing>
          <wp:inline distT="0" distB="0" distL="0" distR="0" wp14:anchorId="58828045" wp14:editId="6D4085E1">
            <wp:extent cx="6120130" cy="113030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4B3ADBBE" w14:textId="77777777" w:rsidR="006721EA" w:rsidRPr="00972808" w:rsidRDefault="006721EA" w:rsidP="0035066E">
      <w:pPr>
        <w:pStyle w:val="SRTextnomal"/>
      </w:pPr>
      <w:r w:rsidRPr="00972808">
        <w:t>Ve srovnání s rokem 2026 jsou příjmy kapitoly nižší o cca 6,9 %, a to zejména v důsledku nižších příjmů z rozpočtu Evropské unie, nerozpočtovaných příjmů z emisních povolenek a nižších transferů ze Státního fondu životního prostředí ČR.</w:t>
      </w:r>
    </w:p>
    <w:p w14:paraId="2C0CF4AC" w14:textId="77777777" w:rsidR="006721EA" w:rsidRPr="00972808" w:rsidRDefault="006721EA" w:rsidP="0035066E">
      <w:pPr>
        <w:pStyle w:val="SRTextnomal"/>
      </w:pPr>
      <w:r w:rsidRPr="00972808">
        <w:t>Celkové výdaje kapitoly Ministerstvo životního prostředí jsou pro rok 2027 navrhovány v objemu 19,7 mld. Kč, což představuje pokles o cca 3,4 % oproti schválenému rozpočtu roku 2026. Převážná část výdajů připadá na projekty spolufinancované zcela nebo částečně z rozpočtu Evropské unie ve výši 15,5 mld. Kč (z toho EU podíl 14,95 mld. Kč) a finančních mechanismů ve výši 411 mil. Kč (z toho podíl finančních mechanismů 345 mil. Kč). Největší část tvoří rozpočtované prostředky v rámci Operačního programu Životní prostředí 2021+ (10,5 mld. Kč) a Operačního programu Spravedlivá transformace (4,9 mld. Kč).</w:t>
      </w:r>
    </w:p>
    <w:p w14:paraId="08132C80" w14:textId="77777777" w:rsidR="006721EA" w:rsidRPr="00972808" w:rsidRDefault="006721EA" w:rsidP="0035066E">
      <w:pPr>
        <w:pStyle w:val="SRTextnomal"/>
      </w:pPr>
      <w:r w:rsidRPr="00972808">
        <w:t xml:space="preserve">Další výdaje kapitoly představují prostředky na Program péče o krajinu (200 mil. Kč), jejich financování je zajištěno transferem poskytnutým do státního rozpočtu Státním fondem životního prostředí ČR, a výdaje na institucionální </w:t>
      </w:r>
      <w:r w:rsidRPr="00972808">
        <w:lastRenderedPageBreak/>
        <w:t>podporu výzkumu, vývoje a inovací (370,5 mil. Kč). Jako transfer pro zoologické zahrady je plánovaná částka 10 mil. Kč a pro nestátní neziskové organizace 4 mil. Kč.  </w:t>
      </w:r>
    </w:p>
    <w:p w14:paraId="629EDEF3" w14:textId="77777777" w:rsidR="006721EA" w:rsidRPr="00972808" w:rsidRDefault="006721EA" w:rsidP="0035066E">
      <w:pPr>
        <w:pStyle w:val="SRTextnomal"/>
      </w:pPr>
      <w:r w:rsidRPr="00972808">
        <w:t xml:space="preserve">Výdaje vyplývající z ustanovení § 7 zákona č. 383/2012 Sb., o podmínkách obchodování s povolenkami na emise skleníkových plynů, nebyly do návrhu rozpočtu promítnuty. Jejich členění a výše budou stanoveny na základě predikce výnosů z emisních povolenek (dražených ČR) a návrhu předloženého Radou pro využití výnosů z dražeb povolenek. </w:t>
      </w:r>
    </w:p>
    <w:p w14:paraId="03DBEFD1" w14:textId="36BB475D" w:rsidR="006721EA" w:rsidRPr="00972808" w:rsidRDefault="006721EA" w:rsidP="0035066E">
      <w:pPr>
        <w:pStyle w:val="SRTextnomal"/>
      </w:pPr>
      <w:r w:rsidRPr="00972808">
        <w:t>Celkové plánované výdaje kapitoly zahrnují také prostředky pro Státní fond životního prostředí ČR ve výši 931,9 mil. Kč, z toho 500 mil. Kč na Operační program Životní prostředí 2021+ a 431,9 mil. Kč na Operační program Spravedlivá transformace.</w:t>
      </w:r>
    </w:p>
    <w:p w14:paraId="4CF36497" w14:textId="77777777" w:rsidR="00341D7F" w:rsidRPr="00972808" w:rsidRDefault="00FE1B9E" w:rsidP="004912D7">
      <w:pPr>
        <w:pStyle w:val="SRNadpis2"/>
      </w:pPr>
      <w:bookmarkStart w:id="236" w:name="_Hlk224557592"/>
      <w:bookmarkStart w:id="237" w:name="_Toc239067854"/>
      <w:r w:rsidRPr="00972808">
        <w:t xml:space="preserve">Komentář k rozpočtu kapitoly </w:t>
      </w:r>
      <w:r w:rsidR="00341D7F" w:rsidRPr="00972808">
        <w:t>Ministerstv</w:t>
      </w:r>
      <w:r w:rsidRPr="00972808">
        <w:t>o</w:t>
      </w:r>
      <w:r w:rsidR="00341D7F" w:rsidRPr="00972808">
        <w:t xml:space="preserve"> </w:t>
      </w:r>
      <w:r w:rsidR="00900348" w:rsidRPr="00972808">
        <w:t>pro místní rozvoj</w:t>
      </w:r>
      <w:bookmarkEnd w:id="237"/>
    </w:p>
    <w:p w14:paraId="35EEF1E7" w14:textId="50F6F201" w:rsidR="00AE6C90" w:rsidRPr="00972808" w:rsidRDefault="00AE6C90" w:rsidP="00AE6C90">
      <w:pPr>
        <w:pStyle w:val="SRTitulek1"/>
      </w:pPr>
      <w:bookmarkStart w:id="238" w:name="_Toc239067899"/>
      <w:bookmarkEnd w:id="236"/>
      <w:r w:rsidRPr="00972808">
        <w:t xml:space="preserve">Tabulka </w:t>
      </w:r>
      <w:r w:rsidRPr="00972808">
        <w:fldChar w:fldCharType="begin"/>
      </w:r>
      <w:r w:rsidRPr="00972808">
        <w:instrText xml:space="preserve"> SEQ Tabulka \* ARABIC </w:instrText>
      </w:r>
      <w:r w:rsidRPr="00972808">
        <w:fldChar w:fldCharType="separate"/>
      </w:r>
      <w:r w:rsidR="00344480">
        <w:rPr>
          <w:noProof/>
        </w:rPr>
        <w:t>30</w:t>
      </w:r>
      <w:r w:rsidRPr="00972808">
        <w:fldChar w:fldCharType="end"/>
      </w:r>
      <w:r w:rsidRPr="00972808">
        <w:t xml:space="preserve"> Celkové příjmy a výdaje kapitoly Ministerstvo pro místní rozvoj (v mil. Kč)</w:t>
      </w:r>
      <w:bookmarkEnd w:id="238"/>
    </w:p>
    <w:p w14:paraId="15780537" w14:textId="20AE663B" w:rsidR="00AE6C90" w:rsidRPr="00972808" w:rsidRDefault="006721EA" w:rsidP="00702405">
      <w:pPr>
        <w:pStyle w:val="StylZa6b"/>
        <w:keepNext/>
      </w:pPr>
      <w:r w:rsidRPr="00972808">
        <w:rPr>
          <w:noProof/>
        </w:rPr>
        <w:drawing>
          <wp:inline distT="0" distB="0" distL="0" distR="0" wp14:anchorId="40F33306" wp14:editId="51CDE8DC">
            <wp:extent cx="6120130" cy="113030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16BA0843" w14:textId="49AD82CA" w:rsidR="006721EA" w:rsidRPr="00972808" w:rsidRDefault="006721EA" w:rsidP="0035066E">
      <w:pPr>
        <w:pStyle w:val="SRTextnomal"/>
      </w:pPr>
      <w:r w:rsidRPr="00972808">
        <w:t>Ve srovnání se schváleným rozpočtem roku 2026 dochází v roce 2027 k poklesu celkových příjmů i výdajů kapitoly Ministerstvo pro místní rozvoj. Celkové příjmy se snižují o 9,8 mld. Kč a celkové výdaje o 10,7 mld. Kč. Pokles výdajů je ovlivněn především nižším objemem prostředků na spolufinancované programy EU, a to s ohledem na končící programové období 2021–2027. Nižší je také objem osobních a provozních výdajů, což souvisí s delimitací zaměstnanců a souvisejících výdajů do nově vznikající kapitoly státního rozpočtu 351 – Úřad rozvoje území a přesunem státní příspěvkové organizace Česká centrála cestovního ruchu – CzechTourism</w:t>
      </w:r>
      <w:r w:rsidRPr="00972808" w:rsidDel="00EE2718">
        <w:t xml:space="preserve"> </w:t>
      </w:r>
      <w:r w:rsidRPr="00972808">
        <w:t>pod Ministerstvo průmyslu a obchodu.</w:t>
      </w:r>
    </w:p>
    <w:p w14:paraId="79DBBAB8" w14:textId="77777777" w:rsidR="006721EA" w:rsidRPr="00972808" w:rsidRDefault="006721EA" w:rsidP="0035066E">
      <w:pPr>
        <w:pStyle w:val="SRTextnomal"/>
      </w:pPr>
      <w:r w:rsidRPr="00972808">
        <w:t>Struktura výdajů odpovídá specifickému charakteru kapitoly, jejíž rozpočet je významně zaměřen na transfery a podporu územního rozvoje. Výdaje jsou soustředěny zejména do podpory regionálního rozvoje a cestovního ruchu, podpory bydlení a ostatních činností resortu. V rámci rozpisu na rok 2027 činí výdaje kapitoly bez podílu EU 5,2 mld. Kč (z toho 1,6 mld. Kč připadá na programy evidované v EDS/SMVS, 1,99 mld. Kč na dotace evidované v ZED a 1,5 mld. Kč na ostatní výdaje).</w:t>
      </w:r>
    </w:p>
    <w:p w14:paraId="7D971083" w14:textId="4FDE7115" w:rsidR="006721EA" w:rsidRPr="00972808" w:rsidRDefault="006721EA" w:rsidP="0035066E">
      <w:pPr>
        <w:pStyle w:val="SRTextnomal"/>
      </w:pPr>
      <w:r w:rsidRPr="00972808">
        <w:t>Ve výdajích kapitoly je zahrnuta částka 250 mil. Kč plánovaná na financování podpůrných opatření podle zákona o</w:t>
      </w:r>
      <w:r w:rsidR="00702405" w:rsidRPr="00972808">
        <w:t> </w:t>
      </w:r>
      <w:r w:rsidRPr="00972808">
        <w:t xml:space="preserve">podpoře bydlení. Jde o nový typ mandatorních výdajů souvisejících zejména s příspěvky na správu a podporu garancí, podnájemní bydlení nebo podporované obecní bydlení. </w:t>
      </w:r>
    </w:p>
    <w:p w14:paraId="2761728B" w14:textId="77777777" w:rsidR="006721EA" w:rsidRPr="00972808" w:rsidRDefault="006721EA" w:rsidP="0035066E">
      <w:pPr>
        <w:pStyle w:val="SRTextnomal"/>
      </w:pPr>
      <w:r w:rsidRPr="00972808">
        <w:t>V národních dotačních programech je pro rok 2027 rozepsána částka 780 mil. Kč. Prostředky směřují například na zvýhodněné úvěry pro mladé prostřednictvím Státního fondu podpory investic, podporu obnovy a rozvoje regionů, organizacím destinačního managementu, nestátním neziskovým organizacím a na další oblasti v působnosti Ministerstva pro místní rozvoj. V programu Podpora obnovy a rozvoje regionů jsou navrhovány výdaje ve výši 305 mil. Kč. Důležitou součástí je rovněž pokračování investiční i neinvestiční podpory Horské služby ČR v objemu 380 mil. Kč.</w:t>
      </w:r>
    </w:p>
    <w:p w14:paraId="60740933" w14:textId="77777777" w:rsidR="006721EA" w:rsidRPr="00972808" w:rsidRDefault="006721EA" w:rsidP="0035066E">
      <w:pPr>
        <w:pStyle w:val="SRTextnomal"/>
      </w:pPr>
      <w:r w:rsidRPr="00972808">
        <w:t>U spolufinancovaných programů EU pro rok 2027 činí podíl státního rozpočtu 2,04 mld. Kč a současně se počítá s výdaji krytými příjmy z EU ve výši 15,8 mld. Kč. Nejvýznamnější je Integrovaný regionální operační program 2021+, dále Operační program Technická pomoc a programy INTERREG. Tyto prostředky umožňují pokračovat v realizaci projektů financovaných z evropských fondů a v zajištění jejich administrace a řízení.</w:t>
      </w:r>
    </w:p>
    <w:p w14:paraId="5E91C709" w14:textId="114BC1B2" w:rsidR="006721EA" w:rsidRPr="00972808" w:rsidRDefault="006721EA" w:rsidP="0035066E">
      <w:pPr>
        <w:pStyle w:val="SRTextnomal"/>
      </w:pPr>
      <w:r w:rsidRPr="00972808">
        <w:t>Vlastní investice resortu v programu materiálně-technického zabezpečení činí 434,7 mil. Kč. Významnou investicí je zejména pokračování vývoje monitorovacího systému pro správu peněžních prostředků fondů EU MS2028+, kde cílem je sjednotit a zjednodušit podporu kohezní politiky do konsolidovaného řešení – Informačního systému správy fondů EU (ISSF). Z provozních výdajů představují významnou část smlouvy na provoz monitorovacích systémů pro EU fondy a</w:t>
      </w:r>
      <w:r w:rsidR="00702405" w:rsidRPr="00972808">
        <w:t> </w:t>
      </w:r>
      <w:r w:rsidRPr="00972808">
        <w:t>provoz a údržbu (např. NEN, ISVZ, SCS NIPEZ).</w:t>
      </w:r>
    </w:p>
    <w:p w14:paraId="198D987C" w14:textId="77777777" w:rsidR="006721EA" w:rsidRPr="00972808" w:rsidRDefault="006721EA" w:rsidP="0035066E">
      <w:pPr>
        <w:pStyle w:val="SRTextnomal"/>
      </w:pPr>
      <w:r w:rsidRPr="00972808">
        <w:t xml:space="preserve">Celkově návrh rozpočtu na rok 2027 odráží změnu struktury a priorit kapitoly Ministerstvo pro místní rozvoj, pokračování podpory bydlení a regionálního rozvoje, zajištění čerpání evropských fondů a provozu celostátně využívaných informačních systémů. </w:t>
      </w:r>
    </w:p>
    <w:p w14:paraId="1E50F157" w14:textId="77777777" w:rsidR="00341D7F" w:rsidRPr="00972808" w:rsidRDefault="00FE1B9E" w:rsidP="004912D7">
      <w:pPr>
        <w:pStyle w:val="SRNadpis2"/>
      </w:pPr>
      <w:bookmarkStart w:id="239" w:name="_Toc239067855"/>
      <w:r w:rsidRPr="00972808">
        <w:lastRenderedPageBreak/>
        <w:t>Komentář k rozpočtu kapitoly Ministerstvo</w:t>
      </w:r>
      <w:r w:rsidR="00341D7F" w:rsidRPr="00972808">
        <w:t xml:space="preserve"> průmyslu a obchodu</w:t>
      </w:r>
      <w:bookmarkEnd w:id="239"/>
    </w:p>
    <w:p w14:paraId="25BF4182" w14:textId="109ED99B" w:rsidR="00AE6C90" w:rsidRPr="00972808" w:rsidRDefault="00AE6C90" w:rsidP="00AE6C90">
      <w:pPr>
        <w:pStyle w:val="SRTitulek1"/>
      </w:pPr>
      <w:bookmarkStart w:id="240" w:name="_Toc239067900"/>
      <w:r w:rsidRPr="00972808">
        <w:t xml:space="preserve">Tabulka </w:t>
      </w:r>
      <w:r w:rsidRPr="00972808">
        <w:fldChar w:fldCharType="begin"/>
      </w:r>
      <w:r w:rsidRPr="00972808">
        <w:instrText xml:space="preserve"> SEQ Tabulka \* ARABIC </w:instrText>
      </w:r>
      <w:r w:rsidRPr="00972808">
        <w:fldChar w:fldCharType="separate"/>
      </w:r>
      <w:r w:rsidR="00344480">
        <w:rPr>
          <w:noProof/>
        </w:rPr>
        <w:t>31</w:t>
      </w:r>
      <w:r w:rsidRPr="00972808">
        <w:fldChar w:fldCharType="end"/>
      </w:r>
      <w:r w:rsidRPr="00972808">
        <w:t xml:space="preserve"> Celkové příjmy a výdaje kapitoly Ministerstvo průmyslu a obchodu (v mil. Kč)</w:t>
      </w:r>
      <w:bookmarkEnd w:id="240"/>
    </w:p>
    <w:p w14:paraId="15BBDD0F" w14:textId="341C1019" w:rsidR="00AE6C90" w:rsidRPr="00972808" w:rsidRDefault="0035066E" w:rsidP="00702405">
      <w:pPr>
        <w:pStyle w:val="StylZa6b"/>
        <w:keepNext/>
      </w:pPr>
      <w:r w:rsidRPr="00972808">
        <w:rPr>
          <w:noProof/>
        </w:rPr>
        <w:drawing>
          <wp:inline distT="0" distB="0" distL="0" distR="0" wp14:anchorId="49D28F65" wp14:editId="1FFD5D5D">
            <wp:extent cx="6120130" cy="1130300"/>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0F6B65F8" w14:textId="3E99E115" w:rsidR="006721EA" w:rsidRPr="00972808" w:rsidRDefault="006721EA" w:rsidP="0035066E">
      <w:pPr>
        <w:pStyle w:val="SRTextnomal"/>
      </w:pPr>
      <w:r w:rsidRPr="00972808">
        <w:t>Příjmy kapitoly jsou navrhovány ve výši 17,9 mld. Kč, z čehož daňové příjmy činí 0,2 mld. Kč. Nedaňové příjmy jsou navrhovány ve výši 5,2 mld. Kč, z toho příjmy z podílů na zisku a dividend ve výši 5 mld. Kč. Z hlediska struktury činí hlavní část příjmů přijaté transfery ve výši 12,5 mld. Kč, z toho příjmy z rozpočtu EU jsou navrhovány ve výši 11,2</w:t>
      </w:r>
      <w:r w:rsidR="003B64F6" w:rsidRPr="00972808">
        <w:t> </w:t>
      </w:r>
      <w:r w:rsidRPr="00972808">
        <w:t>mld.</w:t>
      </w:r>
      <w:r w:rsidR="003B64F6" w:rsidRPr="00972808">
        <w:t> </w:t>
      </w:r>
      <w:r w:rsidRPr="00972808">
        <w:t>Kč a příjmy ze zvláštních fondů ústřední úrovně 1,3 mld. Kč.</w:t>
      </w:r>
    </w:p>
    <w:p w14:paraId="2633A2F4" w14:textId="77777777" w:rsidR="006721EA" w:rsidRPr="00972808" w:rsidRDefault="006721EA" w:rsidP="0035066E">
      <w:pPr>
        <w:pStyle w:val="SRTextnomal"/>
      </w:pPr>
      <w:r w:rsidRPr="00972808">
        <w:t xml:space="preserve">Celkové výdaje kapitoly Ministerstvo průmyslu a obchodu jsou pro rok 2027 navrhovány ve výši 67,9 mld. Kč, což představuje nárůst o 24,6 % oproti schválenému rozpočtu roku 2026. Nárůst je způsoben zejména navýšením rozpočtovaných prostředků na podporované zdroje energie (POZE) v celkové výši 40,7 mld. Kč. Stejně jako v roce 2026 budou výdaje na podporované zdroje energie (POZE) hrazeny v plné výši ze státního rozpočtu. Odběratelé elektřiny tak nebudou muset hradit poplatek na podporu POZE v rámci regulované složky ceny elektřiny. U výdajů na POZE </w:t>
      </w:r>
      <w:bookmarkStart w:id="241" w:name="_Hlk206774205"/>
      <w:r w:rsidRPr="00972808">
        <w:t>a výdajů určených na kompenzace nepřímých nákladů pro odvětví, u kterých bylo zjištěno riziko úniku uhlíku v důsledku promítnutí nákladů spojených s emisemi do cen elektřiny, které jsou kryté z výnosů z emisních povolenek v souladu se zákonem č. 383/2012 Sb., o podmínkách obchodování s povolenkami na emise skleníkových plynů</w:t>
      </w:r>
      <w:bookmarkEnd w:id="241"/>
      <w:r w:rsidRPr="00972808">
        <w:t>, dojde v další fázi rozpočtových prací k upřesnění příjmů i výdajů kapitoly podle závěrů přijatých Radou pro využití výnosů z dražeb povolenek.</w:t>
      </w:r>
    </w:p>
    <w:p w14:paraId="25FF2589" w14:textId="0E1C9979" w:rsidR="006721EA" w:rsidRPr="00972808" w:rsidRDefault="006721EA" w:rsidP="0035066E">
      <w:pPr>
        <w:pStyle w:val="SRTextnomal"/>
      </w:pPr>
      <w:r w:rsidRPr="00972808">
        <w:t>Rozpočtované celkové výdaje zahrnují výdaje spolufinancované z rozpočtu EU a finančních mechanismů ve výši 11,4</w:t>
      </w:r>
      <w:r w:rsidR="00702405" w:rsidRPr="00972808">
        <w:t> </w:t>
      </w:r>
      <w:r w:rsidRPr="00972808">
        <w:t>mld. Kč, kdy podíl krytý příjmem z EU představuje 11,2 mld. Kč. Částkou 13,2 mld. Kč bude podpořena oblast podnikání. V této částce jsou zahrnuty výdaje na opatření ke zvýšení konkurenceschopnosti průmyslových odvětví a</w:t>
      </w:r>
      <w:r w:rsidR="00702405" w:rsidRPr="00972808">
        <w:t> </w:t>
      </w:r>
      <w:r w:rsidRPr="00972808">
        <w:t>výdaje na výzkum a vývoj ve výši 3,4 mld. Kč. Oblast podnikání obsahuje také Operační program Technologie a aplikace pro konkurenceschopnost, jehož výdaje jsou rozpočtovány ve výši 9,3 mld. Kč.</w:t>
      </w:r>
    </w:p>
    <w:p w14:paraId="484FC9C4" w14:textId="620FEDB8" w:rsidR="006721EA" w:rsidRPr="00972808" w:rsidRDefault="006721EA" w:rsidP="0035066E">
      <w:pPr>
        <w:pStyle w:val="SRTextnomal"/>
      </w:pPr>
      <w:r w:rsidRPr="00972808">
        <w:t>Další část výdajů této kapitoly představují výdaje na zahlazování následků hornické činnosti, ty jsou plánovány v celkové výši 4,7 mld. Kč (oproti 4,0 mld. Kč v roce 2026), z toho výdaje kryté převodem z privatizačního účtu dosahují 1,3 mld.</w:t>
      </w:r>
      <w:r w:rsidR="00702405" w:rsidRPr="00972808">
        <w:t> </w:t>
      </w:r>
      <w:r w:rsidRPr="00972808">
        <w:t xml:space="preserve">Kč. Jedná se o prostředky nezbytné na zajištění základních činností státního podniku DIAMO, který zabezpečuje proces zahlazování následků hornické činnosti a odstraňování ekologických škod mj. ve Stráži pod Ralskem. </w:t>
      </w:r>
    </w:p>
    <w:p w14:paraId="37FC4B9B" w14:textId="0D04D47D" w:rsidR="006721EA" w:rsidRPr="00972808" w:rsidRDefault="006721EA" w:rsidP="0035066E">
      <w:pPr>
        <w:pStyle w:val="SRTextnomal"/>
      </w:pPr>
      <w:r w:rsidRPr="00972808">
        <w:t>Na financování organizační složky státu Správa úložišť radioaktivních odpadů, která zajišťuje bezpečné ukládání radioaktivních odpadů v souladu s atomovým zákonem, je navrhováno poskytnout částku celkem 1,2 mld. Kč (oproti 1,1</w:t>
      </w:r>
      <w:r w:rsidR="00702405" w:rsidRPr="00972808">
        <w:t> </w:t>
      </w:r>
      <w:r w:rsidRPr="00972808">
        <w:t>mld. Kč v roce 2026).</w:t>
      </w:r>
    </w:p>
    <w:p w14:paraId="64ED4642" w14:textId="77777777" w:rsidR="006721EA" w:rsidRPr="00972808" w:rsidRDefault="006721EA" w:rsidP="0035066E">
      <w:pPr>
        <w:pStyle w:val="SRTextnomal"/>
      </w:pPr>
      <w:r w:rsidRPr="00972808">
        <w:t>Ve výdajích kapitoly jsou nově zahrnuty výdaje související s převodem agendy průmyslové spolupráce Ministerstva obrany na Ministerstvo průmyslu a obchodu v souladu s usnesením vlády ze dne 20. dubna 2026 č. 250. Jde o obranné výdaje v celkové výši 30,3 mil. Kč.</w:t>
      </w:r>
    </w:p>
    <w:p w14:paraId="7DAD40B8" w14:textId="7B02CA6C" w:rsidR="006721EA" w:rsidRPr="00972808" w:rsidRDefault="006721EA" w:rsidP="0035066E">
      <w:pPr>
        <w:pStyle w:val="SRTextnomal"/>
      </w:pPr>
      <w:r w:rsidRPr="00972808">
        <w:t>Mezi výdaje kapitoly patří nově i výdaje spojené s agendou kosmických aktivit, která byla převedena z Ministerstva dopravy, dále s agendou Rady pro výzkum, vývoj a inovace převedenou z Úřadu vlády ČR (usnesení vlády ze dne 23.</w:t>
      </w:r>
      <w:r w:rsidR="00702405" w:rsidRPr="00972808">
        <w:t> </w:t>
      </w:r>
      <w:r w:rsidRPr="00972808">
        <w:t xml:space="preserve">února 2026 č. 122). V souladu s usnesením vlády </w:t>
      </w:r>
      <w:r w:rsidRPr="00972808">
        <w:rPr>
          <w:lang w:eastAsia="en-US"/>
        </w:rPr>
        <w:t>ze dne 17. 8. 2026 č. 522 jsou v</w:t>
      </w:r>
      <w:r w:rsidRPr="00972808">
        <w:t xml:space="preserve"> rozpočtu kapitoly nově zahrnuty výdaje na financování činností zajišťovan</w:t>
      </w:r>
      <w:r w:rsidR="003B64F6" w:rsidRPr="00972808">
        <w:t>ých</w:t>
      </w:r>
      <w:r w:rsidRPr="00972808">
        <w:t xml:space="preserve"> státní příspěvkovou organizací Česká centrála cestovního ruchu – CzechTourism (příspěvek byl do roku 2026 rozpočtován v rámci kapitoly Ministerstvo pro místní rozvoj). Opatření je motivováno úsporami vyplývajícími ze spojení této příspěvkové organizace s CzechBusiness (Česká agentura na podporu obchodu – CzechTrade, Agentura pro podporu podnikání a investic – CzechInvest).</w:t>
      </w:r>
    </w:p>
    <w:p w14:paraId="569E24BF" w14:textId="77777777" w:rsidR="00341D7F" w:rsidRPr="00972808" w:rsidRDefault="00FE1B9E" w:rsidP="004912D7">
      <w:pPr>
        <w:pStyle w:val="SRNadpis2"/>
      </w:pPr>
      <w:bookmarkStart w:id="242" w:name="_Toc239067856"/>
      <w:r w:rsidRPr="00972808">
        <w:lastRenderedPageBreak/>
        <w:t>Komentář k rozpočtu kapitoly</w:t>
      </w:r>
      <w:r w:rsidR="00E06AD4" w:rsidRPr="00972808">
        <w:t xml:space="preserve"> Mini</w:t>
      </w:r>
      <w:r w:rsidR="006A1D3F" w:rsidRPr="00972808">
        <w:t>sterstvo</w:t>
      </w:r>
      <w:r w:rsidR="00E06AD4" w:rsidRPr="00972808">
        <w:t xml:space="preserve"> dopravy</w:t>
      </w:r>
      <w:bookmarkEnd w:id="242"/>
    </w:p>
    <w:p w14:paraId="78CDE8E4" w14:textId="158AA35F" w:rsidR="00AE6C90" w:rsidRPr="00972808" w:rsidRDefault="00AE6C90" w:rsidP="00AE6C90">
      <w:pPr>
        <w:pStyle w:val="SRTitulek1"/>
      </w:pPr>
      <w:bookmarkStart w:id="243" w:name="_Toc239067901"/>
      <w:r w:rsidRPr="00972808">
        <w:t xml:space="preserve">Tabulka </w:t>
      </w:r>
      <w:r w:rsidRPr="00972808">
        <w:fldChar w:fldCharType="begin"/>
      </w:r>
      <w:r w:rsidRPr="00972808">
        <w:instrText xml:space="preserve"> SEQ Tabulka \* ARABIC </w:instrText>
      </w:r>
      <w:r w:rsidRPr="00972808">
        <w:fldChar w:fldCharType="separate"/>
      </w:r>
      <w:r w:rsidR="00344480">
        <w:rPr>
          <w:noProof/>
        </w:rPr>
        <w:t>32</w:t>
      </w:r>
      <w:r w:rsidRPr="00972808">
        <w:fldChar w:fldCharType="end"/>
      </w:r>
      <w:r w:rsidRPr="00972808">
        <w:t xml:space="preserve"> Celkové příjmy a výdaje kapitoly Ministerstvo dopravy (v mil. Kč)</w:t>
      </w:r>
      <w:bookmarkEnd w:id="243"/>
    </w:p>
    <w:p w14:paraId="6F1EA754" w14:textId="11080C66" w:rsidR="00AE6C90" w:rsidRPr="00972808" w:rsidRDefault="0035066E" w:rsidP="00702405">
      <w:pPr>
        <w:pStyle w:val="StylZa6b"/>
        <w:keepNext/>
      </w:pPr>
      <w:r w:rsidRPr="00972808">
        <w:rPr>
          <w:noProof/>
        </w:rPr>
        <w:drawing>
          <wp:inline distT="0" distB="0" distL="0" distR="0" wp14:anchorId="5EBF2D3A" wp14:editId="2A63091B">
            <wp:extent cx="6120130" cy="1130300"/>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7ECDFEA9" w14:textId="1CA0EA68" w:rsidR="006721EA" w:rsidRPr="00972808" w:rsidRDefault="006721EA" w:rsidP="0035066E">
      <w:pPr>
        <w:pStyle w:val="SRTextnomal"/>
      </w:pPr>
      <w:r w:rsidRPr="00972808">
        <w:t>Příjmy kapitoly jsou navrhovány pro rok 2027 ve výši 15,5 mld. Kč (vč. příjmů spolufinancovaných z rozpočtu EU a</w:t>
      </w:r>
      <w:r w:rsidR="00702405" w:rsidRPr="00972808">
        <w:t> </w:t>
      </w:r>
      <w:r w:rsidRPr="00972808">
        <w:t xml:space="preserve">finančních mechanismů ve výši 14,7 mld. Kč), což představuje snížení o cca 22 % oproti rozpočtu roku 2026. Hlavním důvodem meziročního poklesu příjmů je snížení předpokládaných převodů z fondů státních podniků do státního rozpočtu. Daňové příjmy jsou rozpočtovány ve výši 390 mil. Kč, nedaňové příjmy ve výši 362 mil. Kč. </w:t>
      </w:r>
    </w:p>
    <w:p w14:paraId="3FAFA4E9" w14:textId="77777777" w:rsidR="006721EA" w:rsidRPr="00972808" w:rsidRDefault="006721EA" w:rsidP="0035066E">
      <w:pPr>
        <w:pStyle w:val="SRTextnomal"/>
      </w:pPr>
      <w:r w:rsidRPr="00972808">
        <w:t>Celkové výdaje kapitoly Ministerstvo dopravy jsou navrhovány pro rok 2027 ve výši 162,4 mld. Kč (včetně výdajů spolufinancovaných z rozpočtu EU a finančních mechanismů ve výši 14,7 mld. Kč), tj. zvýšení o cca 11 % oproti rozpočtu roku 2026.</w:t>
      </w:r>
    </w:p>
    <w:p w14:paraId="505660E0" w14:textId="593CEADB" w:rsidR="006721EA" w:rsidRPr="00972808" w:rsidRDefault="006721EA" w:rsidP="0035066E">
      <w:pPr>
        <w:pStyle w:val="SRTextnomal"/>
      </w:pPr>
      <w:r w:rsidRPr="00972808">
        <w:t>Z výdajů na drážní a kombinovanou dopravu je rozpočtováno 11,1 mld. Kč na úhradu ztráty ze závazku veřejné služby ve veřejné drážní osobní dopravě, což představuje přibližně stejnou výši jako v roce 2026. Z toho 6,6 mld. Kč činí výdaje na dopravní obslužnost v objednávce státu (dálková doprava) a částka 4,5 mld. Kč představuje dotaci krajům a</w:t>
      </w:r>
      <w:r w:rsidR="00702405" w:rsidRPr="00972808">
        <w:t> </w:t>
      </w:r>
      <w:r w:rsidRPr="00972808">
        <w:t>hl.</w:t>
      </w:r>
      <w:r w:rsidR="00702405" w:rsidRPr="00972808">
        <w:t> </w:t>
      </w:r>
      <w:r w:rsidRPr="00972808">
        <w:t>m.</w:t>
      </w:r>
      <w:r w:rsidR="00702405" w:rsidRPr="00972808">
        <w:t> </w:t>
      </w:r>
      <w:r w:rsidRPr="00972808">
        <w:t>Praha na financování regionální dopravy. Spoluúčast státního rozpočtu na financování úhrady ztráty ze závazku veřejné služby objednávané kraji a hl. m. Praha vychází ze Smlouvy o zajištění stabilního financování regionální železniční osobní dopravy pro léta 2020 až 2034.</w:t>
      </w:r>
    </w:p>
    <w:p w14:paraId="1CCF503D" w14:textId="77777777" w:rsidR="006721EA" w:rsidRPr="00972808" w:rsidRDefault="006721EA" w:rsidP="0035066E">
      <w:pPr>
        <w:pStyle w:val="SRTextnomal"/>
      </w:pPr>
      <w:r w:rsidRPr="00972808">
        <w:t xml:space="preserve">V rámci ostatních výdajů spojených s dopravní politikou státu, které jsou rozpočtovány v celkovém objemu 7,8 mld. Kč, jsou alokovány např. dotace na slevy jízdného (kompenzace ztráty vznikající dopravcům ve veřejné osobní dopravě přiznáním státem nařízených slev z jízdného) ve výši 5,3 mld. Kč (ve stejné výši jako v roce 2026), úhrada nákladů státnímu podniku Řízení letového provozu ČR souvisejících s poskytováním letových navigačních služeb letům ve vzdušném prostoru ČR osvobozených od zpoplatnění (83 mil. Kč). Z prostředků kapitoly je od druhé poloviny roku 2025 financována organizační složka státu Inspekce silniční dopravy (INSID), jejímž hlavním cílem je zvýšení bezpečnosti na českých silnicích a dálnicích prostřednictvím důslednějších a samostatných kontrol nákladní dopravy. Agenda stávající organizační složky státu Dopravní a energetický stavební úřad (DESÚ) včetně jejího financování bude od 1. ledna 2027 zajišťována nově vzniklým Úřadem rozvoje území se samostatnou rozpočtovou kapitolou. </w:t>
      </w:r>
    </w:p>
    <w:p w14:paraId="5EE8D515" w14:textId="230DE55D" w:rsidR="006721EA" w:rsidRPr="00972808" w:rsidRDefault="006721EA" w:rsidP="0035066E">
      <w:pPr>
        <w:pStyle w:val="SRTextnomal"/>
      </w:pPr>
      <w:r w:rsidRPr="00972808">
        <w:t>Největší část prostředků kapitoly Ministerstvo dopravy představují dotace pro Státní fond dopravní infrastruktury, a to v objemu 143,4 mld. Kč. Z této částky je rozpočtováno 26 mld. Kč na běžné výdaje a 117 mld. Kč výdaje na investice. Z</w:t>
      </w:r>
      <w:r w:rsidR="00702405" w:rsidRPr="00972808">
        <w:t> </w:t>
      </w:r>
      <w:r w:rsidRPr="00972808">
        <w:t>toho dotace pro společné programy EU a ČR představují objem 14,4 mld. Kč (8,4 mld. Kč Operační program Doprava CF 2021+ a 6 mld. Kč Nástroj pro propojení Evropy – CEF 2021+). Národní prostředky ve výši 129 mld. Kč, tj. nárůst o</w:t>
      </w:r>
      <w:r w:rsidR="00702405" w:rsidRPr="00972808">
        <w:t> </w:t>
      </w:r>
      <w:r w:rsidRPr="00972808">
        <w:t>18</w:t>
      </w:r>
      <w:r w:rsidR="00702405" w:rsidRPr="00972808">
        <w:t> </w:t>
      </w:r>
      <w:r w:rsidRPr="00972808">
        <w:t>% oproti rozpočtu roku 2026, jsou rozpočtovány v rámci programového financování v programu Ostatní dotace pro SFDI. Z výdajů na dotace pro SFDI bude financována údržba a výstavba dopravní infrastruktury, zejména železniční a</w:t>
      </w:r>
      <w:r w:rsidR="00702405" w:rsidRPr="00972808">
        <w:t> </w:t>
      </w:r>
      <w:r w:rsidRPr="00972808">
        <w:t>dálniční sítě.</w:t>
      </w:r>
    </w:p>
    <w:p w14:paraId="3FD0E30F" w14:textId="77777777" w:rsidR="00BE47A1" w:rsidRPr="00972808" w:rsidRDefault="00FE1B9E" w:rsidP="004912D7">
      <w:pPr>
        <w:pStyle w:val="SRNadpis2"/>
      </w:pPr>
      <w:bookmarkStart w:id="244" w:name="_Toc239067857"/>
      <w:r w:rsidRPr="00972808">
        <w:t>Komentář k rozpočtu kapitoly</w:t>
      </w:r>
      <w:r w:rsidR="006A1D3F" w:rsidRPr="00972808">
        <w:t xml:space="preserve"> Ministerstvo</w:t>
      </w:r>
      <w:r w:rsidR="00E06AD4" w:rsidRPr="00972808">
        <w:t xml:space="preserve"> zemědělství</w:t>
      </w:r>
      <w:bookmarkEnd w:id="244"/>
    </w:p>
    <w:p w14:paraId="53363E9A" w14:textId="7925B721" w:rsidR="00AE6C90" w:rsidRPr="00972808" w:rsidRDefault="00AE6C90" w:rsidP="00AE6C90">
      <w:pPr>
        <w:pStyle w:val="SRTitulek1"/>
      </w:pPr>
      <w:bookmarkStart w:id="245" w:name="_Hlk220398802"/>
      <w:bookmarkStart w:id="246" w:name="_Toc239067902"/>
      <w:bookmarkEnd w:id="227"/>
      <w:bookmarkEnd w:id="228"/>
      <w:r w:rsidRPr="00972808">
        <w:t xml:space="preserve">Tabulka </w:t>
      </w:r>
      <w:r w:rsidRPr="00972808">
        <w:fldChar w:fldCharType="begin"/>
      </w:r>
      <w:r w:rsidRPr="00972808">
        <w:instrText xml:space="preserve"> SEQ Tabulka \* ARABIC </w:instrText>
      </w:r>
      <w:r w:rsidRPr="00972808">
        <w:fldChar w:fldCharType="separate"/>
      </w:r>
      <w:r w:rsidR="00344480">
        <w:rPr>
          <w:noProof/>
        </w:rPr>
        <w:t>33</w:t>
      </w:r>
      <w:r w:rsidRPr="00972808">
        <w:fldChar w:fldCharType="end"/>
      </w:r>
      <w:r w:rsidRPr="00972808">
        <w:t xml:space="preserve"> Celkové příjmy a výdaje kapitoly Ministerstvo zemědělství (v mil. Kč)</w:t>
      </w:r>
      <w:bookmarkEnd w:id="246"/>
    </w:p>
    <w:p w14:paraId="73C7C964" w14:textId="71050E00" w:rsidR="00AE6C90" w:rsidRPr="00972808" w:rsidRDefault="0035066E" w:rsidP="00702405">
      <w:pPr>
        <w:pStyle w:val="StylZa6b"/>
        <w:keepNext/>
      </w:pPr>
      <w:r w:rsidRPr="00972808">
        <w:rPr>
          <w:noProof/>
        </w:rPr>
        <w:drawing>
          <wp:inline distT="0" distB="0" distL="0" distR="0" wp14:anchorId="6BCBEEC1" wp14:editId="0F176338">
            <wp:extent cx="6120130" cy="11303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130" cy="1130300"/>
                    </a:xfrm>
                    <a:prstGeom prst="rect">
                      <a:avLst/>
                    </a:prstGeom>
                    <a:noFill/>
                    <a:ln>
                      <a:noFill/>
                    </a:ln>
                  </pic:spPr>
                </pic:pic>
              </a:graphicData>
            </a:graphic>
          </wp:inline>
        </w:drawing>
      </w:r>
    </w:p>
    <w:p w14:paraId="473CC13B" w14:textId="6400D8D3" w:rsidR="006721EA" w:rsidRPr="00972808" w:rsidRDefault="006721EA" w:rsidP="0035066E">
      <w:pPr>
        <w:pStyle w:val="SRTextnomal"/>
      </w:pPr>
      <w:bookmarkStart w:id="247" w:name="_Hlk224557856"/>
      <w:r w:rsidRPr="00972808">
        <w:t>Příjmy kapitoly Ministerstvo zemědělství jsou navrhovány ve výši 37,6 mld. Kč, tj. pokles o 2,2 % oproti schválenému rozpočtu na rok 2026. Důvodem snížení je snížení příjmů z rozpočtu EU (o 1,2 mld. Kč) a nerozpočtování transferů ze Státního fondu životního prostředí ČR. Oproti roku 2026 došlo k navýšení daňových příjmů o 2 mld. Kč v souvislosti s</w:t>
      </w:r>
      <w:r w:rsidR="00702405" w:rsidRPr="00972808">
        <w:t> </w:t>
      </w:r>
      <w:r w:rsidRPr="00972808">
        <w:t>vyšším výběrem poplatků.</w:t>
      </w:r>
    </w:p>
    <w:p w14:paraId="00CDCEF3" w14:textId="77777777" w:rsidR="006721EA" w:rsidRPr="00972808" w:rsidRDefault="006721EA" w:rsidP="0035066E">
      <w:pPr>
        <w:pStyle w:val="SRTextnomal"/>
      </w:pPr>
      <w:r w:rsidRPr="00972808">
        <w:lastRenderedPageBreak/>
        <w:t>Celkové výdaje kapitoly Ministerstvo zemědělství jsou pro rok 2027 navrhovány ve výši 64,2 mld. Kč (v tom kapitálové výdaje 15,5 mld. Kč a běžné výdaje 48,7 mld. Kč), oproti schválenému rozpočtu roku 2026 se jedná o nárůst o 1,3 %. Výdaje kryté příjmem z rozpočtu EU jsou plánovány ve výši 28,5 mld. Kč a národní spolufinancování k prostředkům EU činí 13,4 mld. Kč.</w:t>
      </w:r>
    </w:p>
    <w:p w14:paraId="728903EF" w14:textId="77777777" w:rsidR="006721EA" w:rsidRPr="00972808" w:rsidRDefault="006721EA" w:rsidP="0035066E">
      <w:pPr>
        <w:pStyle w:val="SRTextnomal"/>
      </w:pPr>
      <w:r w:rsidRPr="00972808">
        <w:t>V rámci Strategického plánu Společné zemědělské politiky (SZP) je na přímé platby zemědělcům počítáno s prostředky EU ve výši 19,8 mld. Kč, tj. pokles o 4 % oproti schválenému rozpočtu na rok 2026. Na Strategický plán SZP – Rozvoj venkova 2023+ je určena částka 20,5 mld. Kč (meziroční nárůst o 16 %), z toho prostředky EU činí 7,6 mld. Kč (meziroční pokles o 5,9 %) a související národní spolufinancování 12,9 mld. Kč (meziroční nárůst o 34,6 %).</w:t>
      </w:r>
    </w:p>
    <w:p w14:paraId="0D68E8DB" w14:textId="0FFFC0FA" w:rsidR="006721EA" w:rsidRPr="00972808" w:rsidRDefault="006721EA" w:rsidP="0035066E">
      <w:pPr>
        <w:pStyle w:val="SRTextnomal"/>
      </w:pPr>
      <w:r w:rsidRPr="00972808">
        <w:t>Dotace Podpůrnému a garančnímu rolnickému a lesnickému fondu, a. s. je navrhována ve výši 1 mld. Kč, tj. pokles o</w:t>
      </w:r>
      <w:r w:rsidR="00702405" w:rsidRPr="00972808">
        <w:t> </w:t>
      </w:r>
      <w:r w:rsidRPr="00972808">
        <w:t>33,3</w:t>
      </w:r>
      <w:r w:rsidR="00702405" w:rsidRPr="00972808">
        <w:t> </w:t>
      </w:r>
      <w:r w:rsidRPr="00972808">
        <w:t>% oproti schválenému rozpočtu na rok 2026.</w:t>
      </w:r>
    </w:p>
    <w:p w14:paraId="0CB9D056" w14:textId="77777777" w:rsidR="006721EA" w:rsidRPr="00972808" w:rsidRDefault="006721EA" w:rsidP="0035066E">
      <w:pPr>
        <w:pStyle w:val="SRTextnomal"/>
      </w:pPr>
      <w:r w:rsidRPr="00972808">
        <w:t>Na podporu vodního hospodářství je pro rok 2027 počítáno s prostředky 3,6 mld. Kč (tj. nárůst o 42,7 %) a na podporu lesního hospodářství je počítáno s prostředky 556,8 mil. Kč (tj. pokles o 43 %). Procentní rozdíl je v obou případech uváděn oproti schválenému rozpočtu na rok 2026 bez započtení výdajů, které jsou kryté z výnosů z emisních povolenek v souladu s § 7 zákona č. 383/2012 Sb., o podmínkách obchodování s povolenkami na emise skleníkových plynů. Ty nebyly do návrhu rozpočtu promítnuty, jejich členění a výše budou stanoveny na základě predikce výnosů z emisních povolenek (dražených ČR) a návrhu předloženého Radou pro využití výnosů z dražeb povolenek.</w:t>
      </w:r>
    </w:p>
    <w:p w14:paraId="4F7A1E40" w14:textId="3F002716" w:rsidR="006721EA" w:rsidRPr="00972808" w:rsidRDefault="006721EA" w:rsidP="0035066E">
      <w:pPr>
        <w:pStyle w:val="SRTextnomal"/>
      </w:pPr>
      <w:r w:rsidRPr="00972808">
        <w:t>Na částce 3,6 mld. Kč na vodní hospodářství se nejvíce podílejí programy „Podpora opatření pro zmírnění negativních dopadů sucha a nedostatku vody“ (1 mld. Kč), „Podpora výstavby a technického zhodnocení infrastruktury vodovodů a</w:t>
      </w:r>
      <w:r w:rsidR="00702405" w:rsidRPr="00972808">
        <w:t> </w:t>
      </w:r>
      <w:r w:rsidRPr="00972808">
        <w:t>kanalizací III“ (1 mld. Kč), „Podpora opatření na malých vodních nádržích a drobných vodních tocích – 3. etapa“ (400</w:t>
      </w:r>
      <w:r w:rsidR="00702405" w:rsidRPr="00972808">
        <w:t> </w:t>
      </w:r>
      <w:r w:rsidRPr="00972808">
        <w:t>mil.</w:t>
      </w:r>
      <w:r w:rsidR="00702405" w:rsidRPr="00972808">
        <w:t> </w:t>
      </w:r>
      <w:r w:rsidRPr="00972808">
        <w:t>Kč) a „Podpora prevence před povodněmi V“ (400 mil. Kč). Z částky 556,8 mil. Kč na podporu lesního hospodářství je 500 mil. Kč určeno na náhrady za nezpůsobenou újmu a prostředky ve výši 56,8 mil. Kč na Mechanismus civilní obrany EU (prostředky EU a národní spolufinancování).</w:t>
      </w:r>
    </w:p>
    <w:p w14:paraId="1AE76122" w14:textId="77777777" w:rsidR="006721EA" w:rsidRPr="00972808" w:rsidRDefault="006721EA" w:rsidP="0035066E">
      <w:pPr>
        <w:pStyle w:val="SRTextnomal"/>
      </w:pPr>
      <w:r w:rsidRPr="00972808">
        <w:t>Výdaje na výzkum, vývoj a inovace celkem jsou rozpočtovány ve výši 1,1 mld. Kč, tj. pokles o 0,2 % oproti schválenému rozpočtu na rok 2026.</w:t>
      </w:r>
    </w:p>
    <w:p w14:paraId="39860DB3" w14:textId="77777777" w:rsidR="006721EA" w:rsidRPr="00972808" w:rsidRDefault="006721EA" w:rsidP="0035066E">
      <w:pPr>
        <w:pStyle w:val="SRTextnomal"/>
      </w:pPr>
      <w:r w:rsidRPr="00972808">
        <w:t>Z celkových výdajů kapitoly Ministerstvo zemědělství činí dotace Státnímu zemědělskému intervenčnímu fondu částku 47,2 mld. Kč (bez zahrnutí technické pomoci Rozvoje venkova 2023+), tj. nárůst o 4,6 % oproti schválenému rozpočtu na rok 2026. Z uvedené částky je 41,4 mld. Kč (meziroční nárůst o 5,4 %) určeno na financování společné zemědělské politiky, prostředky ve výši 3,9 mld. Kč (meziroční pokles o 1,4 %) jsou vyčleněny na národní dotační programy do zemědělství poskytované podle zákona č. 252/1997 Sb., o zemědělství, a prostředky ve výši 1,9 mld. Kč (meziroční pokles o 0,2 %) představují dotaci na činnost Státního zemědělského intervenčního fondu a na podporu marketingových programů zaměřených na podporu kvalitních domácích potravin.</w:t>
      </w:r>
    </w:p>
    <w:p w14:paraId="5BD2F64C" w14:textId="66C85647" w:rsidR="00CA5887" w:rsidRPr="00972808" w:rsidRDefault="006721EA" w:rsidP="0035066E">
      <w:pPr>
        <w:pStyle w:val="SRTextnomal"/>
      </w:pPr>
      <w:r w:rsidRPr="00972808">
        <w:t>Na pozemkové úpravy je rozpočtována částka 1 mld. Kč z národních zdrojů v rámci organizační složky státu Státní pozemkový úřad a na pozemkové úpravy rozpočtované v rámci účetní operace Strategického plánu SZP – Rozvoj venkova 2021+ prostředky ve stejné výši.</w:t>
      </w:r>
    </w:p>
    <w:p w14:paraId="1B1367F3" w14:textId="77777777" w:rsidR="006242ED" w:rsidRPr="00972808" w:rsidRDefault="00FE1B9E" w:rsidP="004912D7">
      <w:pPr>
        <w:pStyle w:val="SRNadpis2"/>
      </w:pPr>
      <w:bookmarkStart w:id="248" w:name="_Hlk237518100"/>
      <w:bookmarkStart w:id="249" w:name="_Toc239067858"/>
      <w:r w:rsidRPr="00972808">
        <w:t xml:space="preserve">Komentář </w:t>
      </w:r>
      <w:bookmarkEnd w:id="222"/>
      <w:r w:rsidRPr="00972808">
        <w:t>k rozpočtu kapitoly</w:t>
      </w:r>
      <w:r w:rsidR="006242ED" w:rsidRPr="00972808">
        <w:t xml:space="preserve"> Ministerstvo školství, mládeže a tělovýchovy</w:t>
      </w:r>
      <w:bookmarkEnd w:id="249"/>
    </w:p>
    <w:p w14:paraId="05320A23" w14:textId="2C406363" w:rsidR="00AE6C90" w:rsidRPr="00972808" w:rsidRDefault="00AE6C90" w:rsidP="001B7FA9">
      <w:pPr>
        <w:pStyle w:val="SRTitulek1"/>
      </w:pPr>
      <w:bookmarkStart w:id="250" w:name="_Toc239067903"/>
      <w:bookmarkEnd w:id="245"/>
      <w:bookmarkEnd w:id="247"/>
      <w:r w:rsidRPr="00972808">
        <w:t xml:space="preserve">Tabulka </w:t>
      </w:r>
      <w:r w:rsidRPr="00972808">
        <w:fldChar w:fldCharType="begin"/>
      </w:r>
      <w:r w:rsidRPr="00972808">
        <w:instrText xml:space="preserve"> SEQ Tabulka \* ARABIC </w:instrText>
      </w:r>
      <w:r w:rsidRPr="00972808">
        <w:fldChar w:fldCharType="separate"/>
      </w:r>
      <w:r w:rsidR="00344480">
        <w:rPr>
          <w:noProof/>
        </w:rPr>
        <w:t>34</w:t>
      </w:r>
      <w:r w:rsidRPr="00972808">
        <w:fldChar w:fldCharType="end"/>
      </w:r>
      <w:r w:rsidRPr="00972808">
        <w:t xml:space="preserve"> Celkové příjmy a výdaje kapitoly Ministerstvo školství, mládeže a tělovýchovy (v mil. Kč)</w:t>
      </w:r>
      <w:bookmarkEnd w:id="250"/>
    </w:p>
    <w:p w14:paraId="144B2355" w14:textId="7BA087B7" w:rsidR="00AE6C90" w:rsidRPr="00972808" w:rsidRDefault="00997325" w:rsidP="00702405">
      <w:pPr>
        <w:pStyle w:val="SRTextnomal"/>
        <w:keepNext/>
        <w:suppressAutoHyphens w:val="0"/>
        <w:spacing w:after="120"/>
      </w:pPr>
      <w:r w:rsidRPr="00972808">
        <w:rPr>
          <w:noProof/>
        </w:rPr>
        <w:drawing>
          <wp:inline distT="0" distB="0" distL="0" distR="0" wp14:anchorId="00B6A005" wp14:editId="03ECAD2C">
            <wp:extent cx="6120130" cy="1281430"/>
            <wp:effectExtent l="0" t="0" r="0" b="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130" cy="1281430"/>
                    </a:xfrm>
                    <a:prstGeom prst="rect">
                      <a:avLst/>
                    </a:prstGeom>
                    <a:noFill/>
                    <a:ln>
                      <a:noFill/>
                    </a:ln>
                  </pic:spPr>
                </pic:pic>
              </a:graphicData>
            </a:graphic>
          </wp:inline>
        </w:drawing>
      </w:r>
    </w:p>
    <w:p w14:paraId="7026EBFD" w14:textId="77777777" w:rsidR="00997325" w:rsidRPr="00972808" w:rsidRDefault="00997325" w:rsidP="00885FDD">
      <w:pPr>
        <w:pStyle w:val="SRTextnomal"/>
      </w:pPr>
    </w:p>
    <w:p w14:paraId="277E22FD" w14:textId="009A6244" w:rsidR="00997325" w:rsidRPr="00972808" w:rsidRDefault="00997325" w:rsidP="00702405">
      <w:pPr>
        <w:pStyle w:val="SRTextnomal"/>
      </w:pPr>
      <w:r w:rsidRPr="00972808">
        <w:t>Navržené celkové příjmy kapitoly Ministerstvo školství, mládeže a tělovýchovy jsou pro rok 2027 ve výši 7,5 mld. Kč, z</w:t>
      </w:r>
      <w:r w:rsidR="00702405" w:rsidRPr="00972808">
        <w:t> </w:t>
      </w:r>
      <w:r w:rsidRPr="00972808">
        <w:t xml:space="preserve">toho příjmy z rozpočtu EU a prostředků finančních mechanismů činí 7,4 mld. Kč. Proti roku 2026 jsou celkové příjmy kapitoly na rok 2027 nižší o 8,0 mld. Kč, tj. o 51,66 %, snížení se týká především oblasti příjmů z rozpočtu EU. </w:t>
      </w:r>
    </w:p>
    <w:p w14:paraId="2D111595" w14:textId="77777777" w:rsidR="00997325" w:rsidRPr="00972808" w:rsidRDefault="00997325" w:rsidP="00702405">
      <w:pPr>
        <w:pStyle w:val="SRTextnomal"/>
      </w:pPr>
      <w:r w:rsidRPr="00972808">
        <w:t xml:space="preserve">Celkové výdaje kapitoly Ministerstvo školství, mládeže a tělovýchovy jsou pro rok 2027 navrženy ve výši 287,9 mld. Kč, bez započtení výdajů krytých příjmy z rozpočtu EU a prostředků finančních mechanismů pak činí 280,5 mld. Kč. Proti schválenému rozpočtu na rok 2026 jsou celkové výdaje kapitoly na rok 2027 navýšeny o 3,9 mld. Kč, tj. o 1,36 % (bez započtení výdajů krytých příjmy z rozpočtu EU a prostředků finančních mechanismů o 11,8 mld. Kč). Proti schválenému </w:t>
      </w:r>
      <w:r w:rsidRPr="00972808">
        <w:lastRenderedPageBreak/>
        <w:t xml:space="preserve">SDV 2027 jsou celkové výdaje kapitoly bez započtení výdajů krytých příjmy z rozpočtu EU a prostředků finančních mechanismů navýšeny o 20,6 mld. Kč, tj. o 7,94 %. </w:t>
      </w:r>
    </w:p>
    <w:p w14:paraId="0375CE86" w14:textId="5E63AC6C" w:rsidR="00997325" w:rsidRPr="00972808" w:rsidRDefault="00997325" w:rsidP="00702405">
      <w:pPr>
        <w:pStyle w:val="SRTextnomal"/>
      </w:pPr>
      <w:r w:rsidRPr="00972808">
        <w:t xml:space="preserve">Největší objem výdajů kapitoly ve výši 220,4 mld. Kč připadá na výdaje regionálního školství a přímo řízených organizací. Rozpočet regionálního školství ÚSC je od roku 2026 účelově navýšen o výdaje na institucionalizaci psychologů, speciálních pedagogů a sociálních pedagogů v základních školách a na zavedení asistentů pedagoga v běžných třídách 1. ročníku základních škol, tyto oblasti byly účelově posíleny i v rozpočtu na rok 2027. Dále byly navýšeny prostředky na zabezpečení nárůstu pedagogické práce ve školách a školských zařízeních, na podpůrná opatření personálního charakteru a na valorizaci platů učitelů. Po zohlednění všech výše uvedených vlivů je návrh rozpočtu veřejného školství na rok 2027 ve výši 197,1 mld. Kč. Neinvestiční příspěvek a dotace na programové financování pro školy a školská zařízení zřizované MŠMT jsou stanoveny v celkové výši 4,4 mld. Kč. Oblast ústavní a ochranné výchovy byla posílena o 120 úvazků pedagogických pracovníků. Na zabezpečení růstu platů učitelů je rozpočet regionálního školství navýšen o 9 mld. Kč. Prostředky na dotace pro soukromé a církevní školství jsou navrženy ve výši 18,9 mld. Kč. </w:t>
      </w:r>
    </w:p>
    <w:p w14:paraId="5980928A" w14:textId="77777777" w:rsidR="00997325" w:rsidRPr="00972808" w:rsidRDefault="00997325" w:rsidP="00702405">
      <w:pPr>
        <w:pStyle w:val="SRTextnomal"/>
      </w:pPr>
      <w:r w:rsidRPr="00972808">
        <w:t>V rozpočtu kapitoly MŠMT byly zajištěny prostředky na priority směřující k posílení činností škol v oblasti duševního zdraví, rozšíření dostupnosti poradenských a podpůrných služeb ve vzdělávání a ke zvýšení kvality inkluzivního vzdělávání. Celkem byl rozpočet kapitoly MŠMT v této oblasti posílen o 3,9 mld. Kč, z toho o 3,8 mld. Kč v regionálním školství ÚSC.</w:t>
      </w:r>
    </w:p>
    <w:p w14:paraId="3482AA40" w14:textId="4B15F13A" w:rsidR="00997325" w:rsidRPr="00972808" w:rsidRDefault="00997325" w:rsidP="00702405">
      <w:pPr>
        <w:pStyle w:val="SRTextnomal"/>
      </w:pPr>
      <w:r w:rsidRPr="00972808">
        <w:t xml:space="preserve">Výdaje v ukazateli Vysoké školy jsou pro rok 2027 navrženy ve výši 35,9 mld. Kč. Rozpočet pro vysoké školy zahrnuje příspěvek na vzdělávací a tvůrčí činnost, který byl oproti střednědobému výhledu na rok 2027 navýšen o 5,9 mld. Kč, </w:t>
      </w:r>
      <w:r w:rsidRPr="00972808">
        <w:rPr>
          <w:sz w:val="22"/>
          <w:szCs w:val="22"/>
        </w:rPr>
        <w:t>a</w:t>
      </w:r>
      <w:r w:rsidR="00702405" w:rsidRPr="00972808">
        <w:rPr>
          <w:sz w:val="22"/>
          <w:szCs w:val="22"/>
        </w:rPr>
        <w:t> </w:t>
      </w:r>
      <w:r w:rsidRPr="00972808">
        <w:rPr>
          <w:sz w:val="22"/>
          <w:szCs w:val="22"/>
        </w:rPr>
        <w:t>dále</w:t>
      </w:r>
      <w:r w:rsidRPr="00972808">
        <w:t xml:space="preserve"> dotace na sociální a ubytovací stipendia, rozvoj vysoké školy či investiční projekty. </w:t>
      </w:r>
    </w:p>
    <w:p w14:paraId="13CA253B" w14:textId="77777777" w:rsidR="00997325" w:rsidRPr="00972808" w:rsidRDefault="00997325" w:rsidP="00702405">
      <w:pPr>
        <w:pStyle w:val="SRTextnomal"/>
      </w:pPr>
      <w:r w:rsidRPr="00972808">
        <w:t>Na podporu výzkumu, vývoje, inovací a transferu znalostí včetně programů spolufinancovaných z prostředků zahraničních programů je pro rok 2027 vyčleněna celková částka 23,7 mld. Kč, z toho ze státního rozpočtu 19,5 mld. Kč.  Rozpočet na výzkum, vývoj, inovace a transfer znalostí v kapitole MŠMT zahrnuje výdaje na dlouhodobý koncepční rozvoj výzkumných organizací, mezinárodní spolupráci ČR a operační programy, dále výdaje na projekty sdílených činností, na specifický vysokoškolský výzkum či na velké výzkumné infrastruktury.</w:t>
      </w:r>
    </w:p>
    <w:p w14:paraId="0A3BBBC8" w14:textId="52A84331" w:rsidR="007453AB" w:rsidRPr="00972808" w:rsidRDefault="007453AB" w:rsidP="004912D7">
      <w:pPr>
        <w:pStyle w:val="SRNadpis2"/>
      </w:pPr>
      <w:bookmarkStart w:id="251" w:name="_Toc239067859"/>
      <w:bookmarkEnd w:id="248"/>
      <w:r w:rsidRPr="00972808">
        <w:t>Státní dluh</w:t>
      </w:r>
      <w:bookmarkEnd w:id="229"/>
      <w:r w:rsidR="00D36512" w:rsidRPr="00972808">
        <w:t xml:space="preserve"> a </w:t>
      </w:r>
      <w:r w:rsidR="00FE1B9E" w:rsidRPr="00972808">
        <w:t xml:space="preserve">komentář k rozpočtu kapitoly </w:t>
      </w:r>
      <w:r w:rsidR="00D36512" w:rsidRPr="00972808">
        <w:t>Státní dluh</w:t>
      </w:r>
      <w:bookmarkStart w:id="252" w:name="_Hlk237518056"/>
      <w:bookmarkStart w:id="253" w:name="_Hlk220398834"/>
      <w:bookmarkEnd w:id="251"/>
    </w:p>
    <w:p w14:paraId="02B987EA" w14:textId="77777777" w:rsidR="00CB3C08" w:rsidRPr="00972808" w:rsidRDefault="00CB3C08" w:rsidP="00CB3C08">
      <w:pPr>
        <w:pStyle w:val="SRTextnomal"/>
      </w:pPr>
      <w:bookmarkStart w:id="254" w:name="_Toc80264023"/>
      <w:bookmarkEnd w:id="252"/>
      <w:r w:rsidRPr="00972808">
        <w:t>Růst státního dluhu České republiky v posledních několika letech vyplývá ze zvýšené emisní činnosti za účelem pokrytí celkové potřeby financování, která je pro rok 2026 plánována ve výši 738,2 mld. Kč, tj. přibližně 8,2 % HDP. Realizovaná výše potřeby financování pak bude záviset především na skutečném hospodaření státního rozpočtu, které je tak určujícím faktorem meziročního navýšení korunové hodnoty státního dluhu České republiky.</w:t>
      </w:r>
    </w:p>
    <w:p w14:paraId="3D3FAFBA" w14:textId="7DCFB743" w:rsidR="00D879E5" w:rsidRPr="00972808" w:rsidRDefault="00D879E5" w:rsidP="00D879E5">
      <w:pPr>
        <w:pStyle w:val="SRTitulek1"/>
      </w:pPr>
      <w:bookmarkStart w:id="255" w:name="_Toc239067904"/>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35</w:t>
      </w:r>
      <w:r w:rsidR="00391DA8" w:rsidRPr="00972808">
        <w:rPr>
          <w:noProof/>
        </w:rPr>
        <w:fldChar w:fldCharType="end"/>
      </w:r>
      <w:r w:rsidRPr="00972808">
        <w:t xml:space="preserve"> Vývoj státního dluhu a jeho podílu na HDP</w:t>
      </w:r>
      <w:bookmarkEnd w:id="255"/>
      <w:r w:rsidRPr="00972808">
        <w:t xml:space="preserve"> </w:t>
      </w:r>
    </w:p>
    <w:p w14:paraId="6214C4CB" w14:textId="7CBABFA1" w:rsidR="00CB3C08" w:rsidRPr="00972808" w:rsidRDefault="00CB3C08" w:rsidP="00CB3C08">
      <w:pPr>
        <w:pStyle w:val="SRTextnomal"/>
        <w:rPr>
          <w:i/>
          <w:sz w:val="16"/>
          <w:szCs w:val="16"/>
        </w:rPr>
      </w:pPr>
      <w:r w:rsidRPr="00972808">
        <w:rPr>
          <w:noProof/>
        </w:rPr>
        <w:drawing>
          <wp:inline distT="0" distB="0" distL="0" distR="0" wp14:anchorId="713E9D31" wp14:editId="679360D0">
            <wp:extent cx="6120130" cy="101282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1012825"/>
                    </a:xfrm>
                    <a:prstGeom prst="rect">
                      <a:avLst/>
                    </a:prstGeom>
                    <a:noFill/>
                    <a:ln>
                      <a:noFill/>
                    </a:ln>
                  </pic:spPr>
                </pic:pic>
              </a:graphicData>
            </a:graphic>
          </wp:inline>
        </w:drawing>
      </w:r>
    </w:p>
    <w:p w14:paraId="545FEAC2" w14:textId="6CADC969" w:rsidR="00CB3C08" w:rsidRPr="00972808" w:rsidRDefault="00CB3C08" w:rsidP="00CB3C08">
      <w:pPr>
        <w:pStyle w:val="SRTextnomal"/>
      </w:pPr>
      <w:r w:rsidRPr="00972808">
        <w:rPr>
          <w:i/>
          <w:sz w:val="16"/>
          <w:szCs w:val="16"/>
        </w:rPr>
        <w:t>Zdroj: MF, ČSÚ</w:t>
      </w:r>
    </w:p>
    <w:p w14:paraId="4F454AFC" w14:textId="4E0910E3" w:rsidR="00D879E5" w:rsidRPr="00972808" w:rsidRDefault="00D879E5" w:rsidP="00071CAD">
      <w:pPr>
        <w:pStyle w:val="SRTextnomal"/>
      </w:pPr>
    </w:p>
    <w:p w14:paraId="305A8C46" w14:textId="77777777" w:rsidR="00D879E5" w:rsidRPr="00972808" w:rsidRDefault="00D879E5" w:rsidP="00071CAD">
      <w:pPr>
        <w:pStyle w:val="SRTextnomal"/>
        <w:sectPr w:rsidR="00D879E5" w:rsidRPr="00972808" w:rsidSect="00187B06">
          <w:type w:val="continuous"/>
          <w:pgSz w:w="11906" w:h="16838" w:code="9"/>
          <w:pgMar w:top="1134" w:right="1134" w:bottom="1134" w:left="1134" w:header="709" w:footer="709" w:gutter="0"/>
          <w:cols w:space="397"/>
          <w:docGrid w:linePitch="360"/>
        </w:sectPr>
      </w:pPr>
    </w:p>
    <w:p w14:paraId="43B92EBA" w14:textId="77777777" w:rsidR="00CB3C08" w:rsidRPr="00972808" w:rsidRDefault="00CB3C08" w:rsidP="00CB3C08">
      <w:pPr>
        <w:pStyle w:val="SRTextnomal"/>
      </w:pPr>
      <w:r w:rsidRPr="00972808">
        <w:t>V roce 2026 se očekává nárůst státního dluhu na úroveň 3 991,2 mld. Kč, v roce 2027 pak na 4 387,0 mld. Kč, přičemž jeho konečná výše bude záviset především na skutečném výsledku hospodaření státního rozpočtu v roce 2026 a 2027, respektive na skutečné výši výpůjční potřeby státu v těchto letech.</w:t>
      </w:r>
    </w:p>
    <w:p w14:paraId="73AF8B90" w14:textId="583D09FC" w:rsidR="00BF3C34" w:rsidRPr="00972808" w:rsidRDefault="00BF3C34" w:rsidP="00CB3C08">
      <w:pPr>
        <w:pStyle w:val="SRTitulek1"/>
      </w:pPr>
      <w:bookmarkStart w:id="256" w:name="_Toc239067931"/>
      <w:r w:rsidRPr="00972808">
        <w:lastRenderedPageBreak/>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22</w:t>
      </w:r>
      <w:r w:rsidR="00391DA8" w:rsidRPr="00972808">
        <w:fldChar w:fldCharType="end"/>
      </w:r>
      <w:r w:rsidRPr="00972808">
        <w:t xml:space="preserve"> </w:t>
      </w:r>
      <w:r w:rsidR="000E432A" w:rsidRPr="00972808">
        <w:t>Vývoj státního dluhu a jeho podílu na HDP</w:t>
      </w:r>
      <w:bookmarkEnd w:id="256"/>
    </w:p>
    <w:p w14:paraId="308A037B" w14:textId="690CC791" w:rsidR="00BF3C34" w:rsidRPr="00972808" w:rsidRDefault="00CB3C08" w:rsidP="00071CAD">
      <w:pPr>
        <w:pStyle w:val="SRTextnomal"/>
        <w:rPr>
          <w:noProof/>
        </w:rPr>
      </w:pPr>
      <w:r w:rsidRPr="00972808">
        <w:rPr>
          <w:noProof/>
        </w:rPr>
        <w:drawing>
          <wp:inline distT="0" distB="0" distL="0" distR="0" wp14:anchorId="1EC6FF5A" wp14:editId="23721571">
            <wp:extent cx="5989622" cy="3372304"/>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05211" cy="3381081"/>
                    </a:xfrm>
                    <a:prstGeom prst="rect">
                      <a:avLst/>
                    </a:prstGeom>
                    <a:noFill/>
                  </pic:spPr>
                </pic:pic>
              </a:graphicData>
            </a:graphic>
          </wp:inline>
        </w:drawing>
      </w:r>
    </w:p>
    <w:p w14:paraId="5748AEC8" w14:textId="77777777" w:rsidR="00C74E4D" w:rsidRPr="00972808" w:rsidRDefault="00C74E4D" w:rsidP="00071CAD">
      <w:pPr>
        <w:pStyle w:val="SRTextnomal"/>
      </w:pPr>
    </w:p>
    <w:p w14:paraId="1A661BAE" w14:textId="77777777" w:rsidR="00BF3C34" w:rsidRPr="00972808" w:rsidRDefault="00BF3C34" w:rsidP="00071CAD">
      <w:pPr>
        <w:pStyle w:val="SRTextnomal"/>
        <w:sectPr w:rsidR="00BF3C34" w:rsidRPr="00972808" w:rsidSect="00187B06">
          <w:type w:val="continuous"/>
          <w:pgSz w:w="11906" w:h="16838" w:code="9"/>
          <w:pgMar w:top="1134" w:right="1134" w:bottom="1134" w:left="1134" w:header="709" w:footer="709" w:gutter="0"/>
          <w:cols w:space="397"/>
          <w:docGrid w:linePitch="360"/>
        </w:sectPr>
      </w:pPr>
    </w:p>
    <w:p w14:paraId="5A40A0B3" w14:textId="1ED0B03D" w:rsidR="00E55932" w:rsidRPr="00972808" w:rsidRDefault="00E55932" w:rsidP="000D440D">
      <w:pPr>
        <w:pStyle w:val="SRTitulek1"/>
        <w:rPr>
          <w:i/>
        </w:rPr>
      </w:pPr>
      <w:bookmarkStart w:id="257" w:name="_Toc239067932"/>
      <w:bookmarkEnd w:id="254"/>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23</w:t>
      </w:r>
      <w:r w:rsidR="00391DA8" w:rsidRPr="00972808">
        <w:rPr>
          <w:noProof/>
        </w:rPr>
        <w:fldChar w:fldCharType="end"/>
      </w:r>
      <w:r w:rsidRPr="00972808">
        <w:t xml:space="preserve"> </w:t>
      </w:r>
      <w:r w:rsidR="00031724" w:rsidRPr="00972808">
        <w:t xml:space="preserve">Splatnostní profil státního dluhu </w:t>
      </w:r>
      <w:r w:rsidR="00401020" w:rsidRPr="00972808">
        <w:rPr>
          <w:i/>
        </w:rPr>
        <w:t>(v mld. Kč)</w:t>
      </w:r>
      <w:bookmarkEnd w:id="257"/>
    </w:p>
    <w:p w14:paraId="7C61DF98" w14:textId="39C93E4F" w:rsidR="002C7A04" w:rsidRPr="00972808" w:rsidRDefault="00CB3C08" w:rsidP="000C24FA">
      <w:pPr>
        <w:pStyle w:val="SRTextnomal"/>
        <w:keepNext/>
      </w:pPr>
      <w:r w:rsidRPr="00972808">
        <w:rPr>
          <w:noProof/>
        </w:rPr>
        <w:drawing>
          <wp:inline distT="0" distB="0" distL="0" distR="0" wp14:anchorId="38F5F909" wp14:editId="524D7E5F">
            <wp:extent cx="6044098" cy="3345905"/>
            <wp:effectExtent l="0" t="0" r="0" b="698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65848" cy="3357945"/>
                    </a:xfrm>
                    <a:prstGeom prst="rect">
                      <a:avLst/>
                    </a:prstGeom>
                    <a:noFill/>
                  </pic:spPr>
                </pic:pic>
              </a:graphicData>
            </a:graphic>
          </wp:inline>
        </w:drawing>
      </w:r>
    </w:p>
    <w:p w14:paraId="4AF60343" w14:textId="77777777" w:rsidR="00CB3C08" w:rsidRPr="00972808" w:rsidRDefault="00CB3C08" w:rsidP="00CB3C08">
      <w:pPr>
        <w:pStyle w:val="SRTextnomal"/>
        <w:rPr>
          <w:i/>
          <w:sz w:val="16"/>
          <w:szCs w:val="16"/>
        </w:rPr>
      </w:pPr>
      <w:bookmarkStart w:id="258" w:name="_Toc80264024"/>
      <w:r w:rsidRPr="00972808">
        <w:rPr>
          <w:i/>
          <w:sz w:val="16"/>
          <w:szCs w:val="16"/>
        </w:rPr>
        <w:t>Poznámka: Splatnostní profil státního dluhu k 31. 7. 2026 bez zahrnutí zbývajících splátek v roce 2026.</w:t>
      </w:r>
    </w:p>
    <w:p w14:paraId="32B8ED2E" w14:textId="77777777" w:rsidR="002C3CE8" w:rsidRPr="00972808" w:rsidRDefault="002C3CE8" w:rsidP="002C3CE8">
      <w:pPr>
        <w:pStyle w:val="SRTextnomal"/>
      </w:pPr>
    </w:p>
    <w:p w14:paraId="4F0AC644" w14:textId="77777777" w:rsidR="00CB3C08" w:rsidRPr="00972808" w:rsidRDefault="00CB3C08" w:rsidP="00CB3C08">
      <w:pPr>
        <w:pStyle w:val="SRTextnomal"/>
      </w:pPr>
      <w:r w:rsidRPr="00972808">
        <w:t>Přibližně 95 % státního dluhu očekávaného ke konci roku 2026 bude tvořeno vnitřním dluhem většinově zastoupeným střednědobými a dlouhodobými státními dluhopisy vydanými na domácím trhu, 5 % očekávaného státního dluhu bude pak tvořeno dluhem vnějším.</w:t>
      </w:r>
    </w:p>
    <w:p w14:paraId="6232DBED" w14:textId="118223ED" w:rsidR="00B762A9" w:rsidRPr="00972808" w:rsidRDefault="00B762A9" w:rsidP="000D440D">
      <w:pPr>
        <w:pStyle w:val="SRTitulek1"/>
        <w:rPr>
          <w:i/>
        </w:rPr>
      </w:pPr>
      <w:bookmarkStart w:id="259" w:name="_Toc239067905"/>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36</w:t>
      </w:r>
      <w:r w:rsidR="00391DA8" w:rsidRPr="00972808">
        <w:rPr>
          <w:noProof/>
        </w:rPr>
        <w:fldChar w:fldCharType="end"/>
      </w:r>
      <w:r w:rsidRPr="00972808">
        <w:t xml:space="preserve"> Struktura státního dluhu </w:t>
      </w:r>
      <w:r w:rsidRPr="00972808">
        <w:rPr>
          <w:i/>
        </w:rPr>
        <w:t>(v mld. Kč)</w:t>
      </w:r>
      <w:bookmarkEnd w:id="258"/>
      <w:bookmarkEnd w:id="259"/>
    </w:p>
    <w:p w14:paraId="542BF76D" w14:textId="5839713B" w:rsidR="00B762A9" w:rsidRPr="00972808" w:rsidRDefault="005C2E4B" w:rsidP="00071CAD">
      <w:pPr>
        <w:pStyle w:val="SRTextnomal"/>
      </w:pPr>
      <w:r w:rsidRPr="00972808">
        <w:rPr>
          <w:noProof/>
        </w:rPr>
        <w:drawing>
          <wp:inline distT="0" distB="0" distL="0" distR="0" wp14:anchorId="426AF30D" wp14:editId="11E9FA71">
            <wp:extent cx="6057900" cy="2677795"/>
            <wp:effectExtent l="0" t="0" r="0" b="825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57900" cy="2677795"/>
                    </a:xfrm>
                    <a:prstGeom prst="rect">
                      <a:avLst/>
                    </a:prstGeom>
                    <a:noFill/>
                    <a:ln>
                      <a:noFill/>
                    </a:ln>
                  </pic:spPr>
                </pic:pic>
              </a:graphicData>
            </a:graphic>
          </wp:inline>
        </w:drawing>
      </w:r>
    </w:p>
    <w:p w14:paraId="2DCEA805" w14:textId="77777777" w:rsidR="002C3CE8" w:rsidRPr="00972808" w:rsidRDefault="002C3CE8" w:rsidP="002C3CE8">
      <w:pPr>
        <w:pStyle w:val="SRTextnomal"/>
      </w:pPr>
    </w:p>
    <w:p w14:paraId="259782AF" w14:textId="752AEB1A" w:rsidR="005C2E4B" w:rsidRPr="00972808" w:rsidRDefault="005C2E4B" w:rsidP="005C2E4B">
      <w:pPr>
        <w:pStyle w:val="SRTextnomal"/>
      </w:pPr>
      <w:bookmarkStart w:id="260" w:name="_Toc52369883"/>
      <w:r w:rsidRPr="00972808">
        <w:t>Na domácím trhu střednědobých a dlouhodobých státních dluhopisů byl v průběhu 1. pololetí roku 2026 patrný rozdílný vývoj před a po eskalaci geopolitického napětí na Blízkém východě. V lednu a únoru výnosy korunových státních dluhopisů postupně klesaly v návaznosti na očekávání stabilní měnové politiky České národní banky a pokračujícího ústupu inflačních tlaků. Následná eskalace geopolitického napětí vedla k výraznému nárůstu výnosů napříč celou výnosovou křivkou, když se do ocenění dluhopisů promítly vyšší inflační očekávání související s růstem cen energetických komodit, zvýšená nejistota na globálních finančních trzích a obavy z možného omezení přepravy ropy přes Hormuzský průliv. V průběhu druhého čtvrtletí výnosy vzrostly na nejvyšší úrovně od počátku roku, ve druhé polovině června však došlo k jejich částečnému poklesu. Na krátkém konci výnosové křivky se po většinu pololetí promítala měnová politika České národní banky. Ta ponechávala dvoutýdenní repo sazbu na úrovni 3,50 % p. a. a v červnu 2026 ji zvýšila o</w:t>
      </w:r>
      <w:r w:rsidR="00DF77B3" w:rsidRPr="00972808">
        <w:t> </w:t>
      </w:r>
      <w:r w:rsidRPr="00972808">
        <w:t>25</w:t>
      </w:r>
      <w:r w:rsidR="00DF77B3" w:rsidRPr="00972808">
        <w:t> </w:t>
      </w:r>
      <w:r w:rsidRPr="00972808">
        <w:t>bazických bodů na 3,75 % p. a. Na konci července 2026 se výnos 3letého státního dluhopisu pohyboval na úrovni 4,1</w:t>
      </w:r>
      <w:r w:rsidR="00DF77B3" w:rsidRPr="00972808">
        <w:t> </w:t>
      </w:r>
      <w:r w:rsidRPr="00972808">
        <w:t>% p. a., výnos 5letého státního dluhopisu kolem 4,4 % p. a. a výnos 10letého státního dluhopisu na úrovni 4,9 % p.</w:t>
      </w:r>
      <w:r w:rsidR="00DF77B3" w:rsidRPr="00972808">
        <w:t> </w:t>
      </w:r>
      <w:r w:rsidRPr="00972808">
        <w:t>a.</w:t>
      </w:r>
    </w:p>
    <w:p w14:paraId="3CA9414F" w14:textId="0B94A0F0" w:rsidR="00C17097" w:rsidRPr="00972808" w:rsidRDefault="00C17097" w:rsidP="00C17097">
      <w:pPr>
        <w:pStyle w:val="SRTitulek1"/>
        <w:rPr>
          <w:i/>
          <w:iCs/>
        </w:rPr>
      </w:pPr>
      <w:bookmarkStart w:id="261" w:name="_Toc239067933"/>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24</w:t>
      </w:r>
      <w:r w:rsidR="00391DA8" w:rsidRPr="00972808">
        <w:rPr>
          <w:noProof/>
        </w:rPr>
        <w:fldChar w:fldCharType="end"/>
      </w:r>
      <w:r w:rsidRPr="00972808">
        <w:t xml:space="preserve"> Vývoj výnosů státních dluhopisů a měnově-politické sazby ČNB</w:t>
      </w:r>
      <w:r w:rsidR="00855D48" w:rsidRPr="00972808">
        <w:t xml:space="preserve"> </w:t>
      </w:r>
      <w:r w:rsidR="00855D48" w:rsidRPr="00972808">
        <w:rPr>
          <w:i/>
          <w:iCs/>
        </w:rPr>
        <w:t>(v % p. a.)</w:t>
      </w:r>
      <w:bookmarkEnd w:id="261"/>
    </w:p>
    <w:p w14:paraId="443B3E54" w14:textId="1E2A23B8" w:rsidR="00377A80" w:rsidRPr="00972808" w:rsidRDefault="005C2E4B" w:rsidP="00377A80">
      <w:pPr>
        <w:pStyle w:val="SRTextnomal"/>
      </w:pPr>
      <w:r w:rsidRPr="00972808">
        <w:rPr>
          <w:noProof/>
        </w:rPr>
        <w:drawing>
          <wp:inline distT="0" distB="0" distL="0" distR="0" wp14:anchorId="48BF1194" wp14:editId="6D244C34">
            <wp:extent cx="6123214" cy="2500624"/>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78649" cy="2523263"/>
                    </a:xfrm>
                    <a:prstGeom prst="rect">
                      <a:avLst/>
                    </a:prstGeom>
                    <a:noFill/>
                  </pic:spPr>
                </pic:pic>
              </a:graphicData>
            </a:graphic>
          </wp:inline>
        </w:drawing>
      </w:r>
    </w:p>
    <w:p w14:paraId="2BDB5B5E" w14:textId="3FDC992E" w:rsidR="0031336F" w:rsidRPr="00972808" w:rsidRDefault="0031336F" w:rsidP="000D440D">
      <w:pPr>
        <w:pStyle w:val="SRTitulek1"/>
        <w:rPr>
          <w:i/>
        </w:rPr>
      </w:pPr>
      <w:bookmarkStart w:id="262" w:name="_Toc239067906"/>
      <w:r w:rsidRPr="00972808">
        <w:lastRenderedPageBreak/>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37</w:t>
      </w:r>
      <w:r w:rsidR="00391DA8" w:rsidRPr="00972808">
        <w:rPr>
          <w:noProof/>
        </w:rPr>
        <w:fldChar w:fldCharType="end"/>
      </w:r>
      <w:r w:rsidRPr="00972808">
        <w:t xml:space="preserve"> Základní ukazatele kapitoly Státní dluh </w:t>
      </w:r>
      <w:r w:rsidRPr="00972808">
        <w:rPr>
          <w:i/>
        </w:rPr>
        <w:t>(v mil. Kč)</w:t>
      </w:r>
      <w:bookmarkEnd w:id="262"/>
    </w:p>
    <w:p w14:paraId="194D0057" w14:textId="7DC5CD63" w:rsidR="0031336F" w:rsidRPr="00972808" w:rsidRDefault="002D12BA" w:rsidP="0031336F">
      <w:pPr>
        <w:pStyle w:val="SRTextnomal"/>
      </w:pPr>
      <w:r w:rsidRPr="00972808">
        <w:rPr>
          <w:noProof/>
        </w:rPr>
        <w:drawing>
          <wp:inline distT="0" distB="0" distL="0" distR="0" wp14:anchorId="4504DE7E" wp14:editId="5903B1B8">
            <wp:extent cx="5588635" cy="1323975"/>
            <wp:effectExtent l="0" t="0" r="0" b="9525"/>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88635" cy="1323975"/>
                    </a:xfrm>
                    <a:prstGeom prst="rect">
                      <a:avLst/>
                    </a:prstGeom>
                    <a:noFill/>
                    <a:ln>
                      <a:noFill/>
                    </a:ln>
                  </pic:spPr>
                </pic:pic>
              </a:graphicData>
            </a:graphic>
          </wp:inline>
        </w:drawing>
      </w:r>
    </w:p>
    <w:p w14:paraId="4B9491EF" w14:textId="77777777" w:rsidR="001B7FA9" w:rsidRPr="00972808" w:rsidRDefault="001B7FA9" w:rsidP="005C2E4B">
      <w:pPr>
        <w:spacing w:after="0"/>
      </w:pPr>
    </w:p>
    <w:p w14:paraId="655B2261" w14:textId="11FDAAF7" w:rsidR="005C2E4B" w:rsidRPr="00972808" w:rsidRDefault="005C2E4B" w:rsidP="005C2E4B">
      <w:pPr>
        <w:spacing w:after="0"/>
        <w:rPr>
          <w:color w:val="000000"/>
        </w:rPr>
      </w:pPr>
      <w:r w:rsidRPr="00972808">
        <w:t>Rozpočtovaný schodek státního rozpočtu na rok 2027 ve výši 389 mld. Kč a zvýšení stavu na účtech státních finančních aktiv o 6,8 mld. Kč budou pokryty zvýšením stavu státního dluhu o 395,8 mld. Kč. V důsledku realizace vzájemného zápočtu výdajů a příjmů, v rámci kterého nejsou příjmy kapitoly samostatně vykazovány, ale snižují uskutečněné výdaje, jsou tyto příjmy rozpočtovány v nulové výši. Rozpočtované výdaje kapitoly Státní dluh v celkové výši 130 mld. Kč pro rok 2027 mají téměř výhradně charakter úrokových výdajů na obsluhu státního dluhu. Poplatky spojené s obsluhou státního dluhu jsou pro rok 2027 rozpočtovány ve výši 1 mld. Kč.</w:t>
      </w:r>
    </w:p>
    <w:p w14:paraId="0123F443" w14:textId="77777777" w:rsidR="007453AB" w:rsidRPr="00972808" w:rsidRDefault="00171C58" w:rsidP="004912D7">
      <w:pPr>
        <w:pStyle w:val="SRNadpis2"/>
      </w:pPr>
      <w:bookmarkStart w:id="263" w:name="_Toc239067860"/>
      <w:r w:rsidRPr="00972808">
        <w:t xml:space="preserve">Komentář k rozpočtu kapitoly </w:t>
      </w:r>
      <w:r w:rsidR="009449E5" w:rsidRPr="00972808">
        <w:t>Operace státních finančních aktiv</w:t>
      </w:r>
      <w:bookmarkEnd w:id="260"/>
      <w:bookmarkEnd w:id="263"/>
    </w:p>
    <w:p w14:paraId="5B5E5081" w14:textId="77777777" w:rsidR="00E83B08" w:rsidRPr="00972808" w:rsidRDefault="00E83B08" w:rsidP="00AD317C">
      <w:pPr>
        <w:pStyle w:val="SRNadpis3"/>
        <w:sectPr w:rsidR="00E83B08" w:rsidRPr="00972808" w:rsidSect="00187B06">
          <w:type w:val="continuous"/>
          <w:pgSz w:w="11906" w:h="16838" w:code="9"/>
          <w:pgMar w:top="1134" w:right="1134" w:bottom="1134" w:left="1134" w:header="709" w:footer="709" w:gutter="0"/>
          <w:cols w:space="397"/>
          <w:docGrid w:linePitch="360"/>
        </w:sectPr>
      </w:pPr>
    </w:p>
    <w:p w14:paraId="5EE38B55" w14:textId="7BA6B485" w:rsidR="005C2E4B" w:rsidRPr="00972808" w:rsidRDefault="005C2E4B" w:rsidP="005C2E4B">
      <w:pPr>
        <w:pStyle w:val="SRTextnomal"/>
        <w:rPr>
          <w:szCs w:val="24"/>
        </w:rPr>
      </w:pPr>
      <w:bookmarkStart w:id="264" w:name="_Hlk220398547"/>
      <w:bookmarkStart w:id="265" w:name="_Hlk224558127"/>
      <w:r w:rsidRPr="00972808">
        <w:t xml:space="preserve">Rozpočet </w:t>
      </w:r>
      <w:r w:rsidRPr="00972808">
        <w:rPr>
          <w:szCs w:val="24"/>
        </w:rPr>
        <w:t>kapitoly Operace státních finančních aktiv na rok 2027 počítá s celkovými příjmy ve výši 8 011,5 mil. Kč a</w:t>
      </w:r>
      <w:r w:rsidR="003B64F6" w:rsidRPr="00972808">
        <w:rPr>
          <w:szCs w:val="24"/>
        </w:rPr>
        <w:t> </w:t>
      </w:r>
      <w:r w:rsidRPr="00972808">
        <w:rPr>
          <w:szCs w:val="24"/>
        </w:rPr>
        <w:t>s celkovými výdaji ve výši 10 mil. Kč.</w:t>
      </w:r>
    </w:p>
    <w:p w14:paraId="5A6534E3" w14:textId="5325F922" w:rsidR="005C2E4B" w:rsidRPr="00972808" w:rsidRDefault="005C2E4B" w:rsidP="005C2E4B">
      <w:pPr>
        <w:pStyle w:val="SRTextnomal"/>
        <w:rPr>
          <w:szCs w:val="24"/>
        </w:rPr>
      </w:pPr>
      <w:r w:rsidRPr="00972808">
        <w:rPr>
          <w:szCs w:val="24"/>
        </w:rPr>
        <w:t xml:space="preserve">Na příjmových operacích kapitoly Operace státních finančních aktiv se největší měrou podílejí příjmy z úroků a realizace finančního majetku v celkové výši 5 200 mil. Kč (podseskupení položek 214), z toho čisté úrokové výnosy z finančního investování na jaderném účtu v celkové výši 1 900 mil. Kč a příjmy z dividend v celkové výši 3 300 mil. Kč. </w:t>
      </w:r>
    </w:p>
    <w:p w14:paraId="77AACFB7" w14:textId="2B851141" w:rsidR="005C2E4B" w:rsidRPr="00972808" w:rsidRDefault="005C2E4B" w:rsidP="005C2E4B">
      <w:pPr>
        <w:pStyle w:val="SRTextnomal"/>
        <w:rPr>
          <w:szCs w:val="24"/>
        </w:rPr>
      </w:pPr>
      <w:r w:rsidRPr="00972808">
        <w:rPr>
          <w:szCs w:val="24"/>
        </w:rPr>
        <w:t>Menší podíl na příjmech kapitoly mají transfery od nefinančních podniků a korporací ve výši 2 810 mil. Kč, v tom jako daňové příjmy odvody od původců radioaktivních odpadů na jaderný účet ve výši 2 800 mil. Kč (podseskupení položek 133) a příjmy z likvidace státních podniků ve výši 10 mil. Kč (podseskupení položek 212).</w:t>
      </w:r>
    </w:p>
    <w:p w14:paraId="6EEF84DB" w14:textId="77777777" w:rsidR="005C2E4B" w:rsidRPr="00972808" w:rsidRDefault="005C2E4B" w:rsidP="005C2E4B">
      <w:pPr>
        <w:pStyle w:val="SRTextnomal"/>
        <w:rPr>
          <w:szCs w:val="24"/>
        </w:rPr>
      </w:pPr>
      <w:r w:rsidRPr="00972808">
        <w:rPr>
          <w:szCs w:val="24"/>
        </w:rPr>
        <w:t>Ostatní příjmy této kapitoly tvoří ostatní nedaňové příjmy v předpokládané výši 1,5 mil. Kč (podseskupení položek 232).</w:t>
      </w:r>
    </w:p>
    <w:p w14:paraId="75C8BC9E" w14:textId="77777777" w:rsidR="005C2E4B" w:rsidRPr="00972808" w:rsidRDefault="005C2E4B" w:rsidP="005C2E4B">
      <w:pPr>
        <w:pStyle w:val="SRTextnomal"/>
      </w:pPr>
      <w:r w:rsidRPr="00972808">
        <w:t>Celkové předpokládané výdaje kapitoly Operace státních finančních aktiv ve výši 10 mil. Kč v sobě zahrnují přímé výdaje na ostatní závazky dlouhodobého charakteru, např. úhrady poplatků za služby související s držbou cenných papírů.</w:t>
      </w:r>
    </w:p>
    <w:p w14:paraId="30F8EB5E" w14:textId="77777777" w:rsidR="005C2E4B" w:rsidRPr="00972808" w:rsidRDefault="005C2E4B" w:rsidP="005C2E4B">
      <w:pPr>
        <w:pStyle w:val="SRTextnomal"/>
      </w:pPr>
      <w:r w:rsidRPr="00972808">
        <w:t>Výdaje kryté z účtů státních finančních aktiv a přenesené do jiných rozpočtových kapitol nejsou od roku 2022 na základě novely zákona č. 218/2000 Sb., o rozpočtových pravidlech, rozpočtovány v kapitole Operace státních finančních aktiv, ale přímo v příslušných kapitolách.</w:t>
      </w:r>
    </w:p>
    <w:p w14:paraId="6B2DFD11" w14:textId="77777777" w:rsidR="00075EEF" w:rsidRPr="00972808" w:rsidRDefault="00171C58" w:rsidP="004912D7">
      <w:pPr>
        <w:pStyle w:val="SRNadpis2"/>
      </w:pPr>
      <w:bookmarkStart w:id="266" w:name="_Ref238986668"/>
      <w:bookmarkStart w:id="267" w:name="_Toc239067861"/>
      <w:r w:rsidRPr="00972808">
        <w:t>Komentář k rozpočtu kapito</w:t>
      </w:r>
      <w:bookmarkEnd w:id="253"/>
      <w:r w:rsidRPr="00972808">
        <w:t xml:space="preserve">ly </w:t>
      </w:r>
      <w:r w:rsidR="00075EEF" w:rsidRPr="00972808">
        <w:t>Všeobecná pokladní správa</w:t>
      </w:r>
      <w:bookmarkEnd w:id="266"/>
      <w:bookmarkEnd w:id="267"/>
    </w:p>
    <w:p w14:paraId="4F179C1B" w14:textId="0010DE6D" w:rsidR="00F3715C" w:rsidRPr="00972808" w:rsidRDefault="00F3715C" w:rsidP="00F3715C">
      <w:pPr>
        <w:pStyle w:val="SRTitulek1"/>
      </w:pPr>
      <w:bookmarkStart w:id="268" w:name="_Toc52369890"/>
      <w:bookmarkStart w:id="269" w:name="_Ref81213498"/>
      <w:bookmarkStart w:id="270" w:name="_Hlk220398594"/>
      <w:bookmarkStart w:id="271" w:name="_Hlk224560394"/>
      <w:bookmarkStart w:id="272" w:name="_Toc239067907"/>
      <w:bookmarkEnd w:id="264"/>
      <w:bookmarkEnd w:id="265"/>
      <w:r w:rsidRPr="00972808">
        <w:t xml:space="preserve">Tabulka </w:t>
      </w:r>
      <w:r w:rsidRPr="00972808">
        <w:fldChar w:fldCharType="begin"/>
      </w:r>
      <w:r w:rsidRPr="00972808">
        <w:instrText xml:space="preserve"> SEQ Tabulka \* ARABIC </w:instrText>
      </w:r>
      <w:r w:rsidRPr="00972808">
        <w:fldChar w:fldCharType="separate"/>
      </w:r>
      <w:r w:rsidR="00344480">
        <w:rPr>
          <w:noProof/>
        </w:rPr>
        <w:t>38</w:t>
      </w:r>
      <w:r w:rsidRPr="00972808">
        <w:fldChar w:fldCharType="end"/>
      </w:r>
      <w:r w:rsidRPr="00972808">
        <w:t xml:space="preserve"> Celkové příjmy a výdaje kapitoly Všeobecná pokladní správa (v mil. Kč)</w:t>
      </w:r>
      <w:bookmarkEnd w:id="272"/>
    </w:p>
    <w:p w14:paraId="51CF9279" w14:textId="55494DEF" w:rsidR="000B136A" w:rsidRPr="00972808" w:rsidRDefault="00F3715C" w:rsidP="00713362">
      <w:pPr>
        <w:pStyle w:val="SRTextnomal"/>
      </w:pPr>
      <w:r w:rsidRPr="00972808">
        <w:rPr>
          <w:noProof/>
        </w:rPr>
        <w:drawing>
          <wp:inline distT="0" distB="0" distL="0" distR="0" wp14:anchorId="271B6227" wp14:editId="60E68F50">
            <wp:extent cx="6120130" cy="914400"/>
            <wp:effectExtent l="0" t="0" r="0" b="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0130" cy="914400"/>
                    </a:xfrm>
                    <a:prstGeom prst="rect">
                      <a:avLst/>
                    </a:prstGeom>
                    <a:noFill/>
                    <a:ln>
                      <a:noFill/>
                    </a:ln>
                  </pic:spPr>
                </pic:pic>
              </a:graphicData>
            </a:graphic>
          </wp:inline>
        </w:drawing>
      </w:r>
    </w:p>
    <w:p w14:paraId="0001C3FF" w14:textId="78E4364B" w:rsidR="00713362" w:rsidRPr="00972808" w:rsidRDefault="00713362" w:rsidP="00713362">
      <w:pPr>
        <w:pStyle w:val="SRTextnomal"/>
      </w:pPr>
      <w:r w:rsidRPr="00972808">
        <w:t>Celkové příjmy kapitoly Všeobecná pokladní správa jsou pro rok 2027 rozpočtovány ve výši 1 111,1 mld. Kč, jedná se o</w:t>
      </w:r>
      <w:r w:rsidR="00702405" w:rsidRPr="00972808">
        <w:t> </w:t>
      </w:r>
      <w:r w:rsidRPr="00972808">
        <w:t>meziroční nárůst o téměř 51,3 mld. Kč.</w:t>
      </w:r>
    </w:p>
    <w:p w14:paraId="5EC8CE86" w14:textId="77777777" w:rsidR="00713362" w:rsidRPr="00972808" w:rsidRDefault="00713362" w:rsidP="00713362">
      <w:pPr>
        <w:pStyle w:val="SRTextnomal"/>
      </w:pPr>
      <w:r w:rsidRPr="00972808">
        <w:t>Daňové příjmy jsou meziročně vyšší o částku 48,3 mld. Kč a jsou rozpočtovány ve výši 1 086,8 mld. Kč. Nedaňové příjmy jsou meziročně vyšší o 0,7 mld. Kč a dosahují částky 7,3 mld. Kč, v rámci nich se zvyšuje odvod přebytku z provozu zákonného pojištění odpovědnosti zaměstnavatele za škodu způsobenou při pracovním úrazu nebo nemoci z povolání o 0,7 mld. Kč na částku 5,4 mld. Kč. Kapitálové příjmy se předpokládají ve výši 9 mil. Kč. Rozpočtovaná výše těchto příjmů vychází z uzavřené dohody s Mezinárodní bankou hospodářské spolupráce. Přijaté transfery jsou pro rok 2027 rozpočtovány ve výši 17 mld. Kč a jedná se o příjmy ze zvláštních účtů MF po zrušeném Fondu národního majetku (FNM).</w:t>
      </w:r>
    </w:p>
    <w:p w14:paraId="58A7D00F" w14:textId="77777777" w:rsidR="00713362" w:rsidRPr="00972808" w:rsidRDefault="00713362" w:rsidP="00713362">
      <w:pPr>
        <w:pStyle w:val="SRTextnomal"/>
      </w:pPr>
      <w:r w:rsidRPr="00972808">
        <w:t>Rozpočet kapitoly Všeobecná pokladní správa obsahuje výdaje ve výši 318,5 mld. Kč. Ve srovnání s rokem 2026 dochází k nárustu výdajů o částku 52,2 mld. Kč.</w:t>
      </w:r>
    </w:p>
    <w:p w14:paraId="38E5ADEF" w14:textId="77777777" w:rsidR="00713362" w:rsidRPr="00972808" w:rsidRDefault="00713362" w:rsidP="00713362">
      <w:pPr>
        <w:pStyle w:val="SRTextnomal"/>
      </w:pPr>
      <w:r w:rsidRPr="00972808">
        <w:rPr>
          <w:b/>
        </w:rPr>
        <w:lastRenderedPageBreak/>
        <w:t>Vládní rozpočtová rezerva</w:t>
      </w:r>
      <w:r w:rsidRPr="00972808">
        <w:t xml:space="preserve"> je v roce 2027 rozpočtována ve výši 11 mld. Kč, tj. 0,43 % výdajů státního rozpočtu.</w:t>
      </w:r>
    </w:p>
    <w:p w14:paraId="5E4E8589" w14:textId="6891AC81" w:rsidR="00713362" w:rsidRPr="00972808" w:rsidRDefault="00713362" w:rsidP="00713362">
      <w:pPr>
        <w:pStyle w:val="SRTextnomal"/>
      </w:pPr>
      <w:r w:rsidRPr="00972808">
        <w:t>V rozpočtu výdajů jsou zabezpečeny prostředky na </w:t>
      </w:r>
      <w:r w:rsidRPr="00972808">
        <w:rPr>
          <w:b/>
        </w:rPr>
        <w:t>odvody do rozpočtu Evropské unie</w:t>
      </w:r>
      <w:r w:rsidRPr="00972808">
        <w:t xml:space="preserve"> (včetně příspěvků na úroky za makrofinanční pomoci Ukrajině) v celkové výši 85,3 mld. Kč a </w:t>
      </w:r>
      <w:r w:rsidRPr="00972808">
        <w:rPr>
          <w:b/>
        </w:rPr>
        <w:t>platby mezinárodním finančním institucím a fondům</w:t>
      </w:r>
      <w:r w:rsidRPr="00972808">
        <w:t xml:space="preserve"> ve výši 0,5 mld. Kč.</w:t>
      </w:r>
      <w:r w:rsidR="00AB5774" w:rsidRPr="00972808">
        <w:t xml:space="preserve"> Podrobněji viz kapitola </w:t>
      </w:r>
      <w:r w:rsidR="00AB5774" w:rsidRPr="00972808">
        <w:fldChar w:fldCharType="begin"/>
      </w:r>
      <w:r w:rsidR="00AB5774" w:rsidRPr="00972808">
        <w:instrText xml:space="preserve"> REF _Ref238989325 \r \h </w:instrText>
      </w:r>
      <w:r w:rsidR="001116E5" w:rsidRPr="00972808">
        <w:instrText xml:space="preserve"> \* MERGEFORMAT </w:instrText>
      </w:r>
      <w:r w:rsidR="00AB5774" w:rsidRPr="00972808">
        <w:fldChar w:fldCharType="separate"/>
      </w:r>
      <w:r w:rsidR="00344480">
        <w:t>6.2</w:t>
      </w:r>
      <w:r w:rsidR="00AB5774" w:rsidRPr="00972808">
        <w:fldChar w:fldCharType="end"/>
      </w:r>
      <w:r w:rsidR="00AB5774" w:rsidRPr="00972808">
        <w:t>.</w:t>
      </w:r>
    </w:p>
    <w:p w14:paraId="0565BF33" w14:textId="77777777" w:rsidR="00713362" w:rsidRPr="00972808" w:rsidRDefault="00713362" w:rsidP="00713362">
      <w:pPr>
        <w:pStyle w:val="SRTextnomal"/>
        <w:keepNext/>
      </w:pPr>
      <w:r w:rsidRPr="00972808">
        <w:t xml:space="preserve">Dále jsou v kapitole </w:t>
      </w:r>
      <w:r w:rsidRPr="00972808">
        <w:rPr>
          <w:b/>
        </w:rPr>
        <w:t>Všeobecná pokladní správa</w:t>
      </w:r>
      <w:r w:rsidRPr="00972808">
        <w:t xml:space="preserve"> rozpočtovány mimo jiné:</w:t>
      </w:r>
    </w:p>
    <w:p w14:paraId="2B64C69E" w14:textId="77777777" w:rsidR="00713362" w:rsidRPr="00972808" w:rsidRDefault="00713362" w:rsidP="00713362">
      <w:pPr>
        <w:pStyle w:val="SROdrka1"/>
        <w:tabs>
          <w:tab w:val="clear" w:pos="426"/>
        </w:tabs>
        <w:ind w:left="284" w:hanging="284"/>
      </w:pPr>
      <w:r w:rsidRPr="00972808">
        <w:t xml:space="preserve">výdaje na </w:t>
      </w:r>
      <w:r w:rsidRPr="00972808">
        <w:rPr>
          <w:b/>
        </w:rPr>
        <w:t>datové schránky</w:t>
      </w:r>
      <w:r w:rsidRPr="00972808">
        <w:t xml:space="preserve"> ve výši 1 055 mil. Kč, kdy od roku 2023 došlo k posílení této výdajové položky z důvodu vyššího počtu povinně zřízených datových schránek (doporučené zásilky pro 2,5 milionu nových uživatelů) a s tím souvisejících zvýšených nároků na kapacitní posílení systému;</w:t>
      </w:r>
    </w:p>
    <w:p w14:paraId="542472FD" w14:textId="6603E3D7" w:rsidR="00713362" w:rsidRPr="00972808" w:rsidRDefault="00713362" w:rsidP="00713362">
      <w:pPr>
        <w:pStyle w:val="SROdrka1"/>
        <w:tabs>
          <w:tab w:val="clear" w:pos="426"/>
        </w:tabs>
        <w:ind w:left="284" w:hanging="284"/>
      </w:pPr>
      <w:r w:rsidRPr="00972808">
        <w:t xml:space="preserve">výdaje </w:t>
      </w:r>
      <w:r w:rsidRPr="00972808">
        <w:rPr>
          <w:b/>
          <w:bCs/>
        </w:rPr>
        <w:t>na platbu pojistného na veřejné zdravotní pojištění</w:t>
      </w:r>
      <w:r w:rsidRPr="00972808">
        <w:t xml:space="preserve"> ze státního rozpočtu za osoby, za které je plátcem stát, jsou rozpočtovány ve výši 175,7 mld. Kč. Navýšení oproti schválenému rozpočtu 2026 činí 18 mld. Kč, tj. o 11,4 % na rok 2027. Výše platby pojistného na veřejné zdravotní pojištění bude ovlivněna tzv. mimořádnou valorizací, nebude se tedy zohledňovat růst cenové hladiny, ani reálných mezd, jak se dělo v minulých letech, ale dojde k arbitrárně určenému růstu vyměřovacího základu tzv. státních pojištěnců dle návrhu vlády. Vyměřovací základ se navýší z částky 16 206 Kč na 17 740 Kč za kalendářní měsíc. To představuje zvýšení měsíční platby za jednoho pojištěnce z částky 2 188 Kč na 2 395 Kč. Odhadované příjmy systému veřejného zdravotní pojištění se díky tomuto vlivu a díky dynamice výběru pojistného meziročně zvýší o 41,1 mld. Kč (o 7,3 %) na 604,6 mld. Kč, což povede ke stabilizaci systému, ačkoli dojde ke korekci původně zamýšleného navýšení platby za tzv. státní pojištěnce;</w:t>
      </w:r>
    </w:p>
    <w:p w14:paraId="155C3AB7" w14:textId="77777777" w:rsidR="00713362" w:rsidRPr="00972808" w:rsidRDefault="00713362" w:rsidP="00713362">
      <w:pPr>
        <w:pStyle w:val="SROdrka1"/>
        <w:tabs>
          <w:tab w:val="clear" w:pos="426"/>
        </w:tabs>
        <w:ind w:left="284" w:hanging="284"/>
      </w:pPr>
      <w:r w:rsidRPr="00972808">
        <w:t xml:space="preserve">výdaje na </w:t>
      </w:r>
      <w:r w:rsidRPr="00972808">
        <w:rPr>
          <w:b/>
        </w:rPr>
        <w:t xml:space="preserve">stavební spoření </w:t>
      </w:r>
      <w:r w:rsidRPr="00972808">
        <w:t>ve výši 1,6 mld. Kč, jedná se o meziroční pokles o částku 0,1 mld. Kč;</w:t>
      </w:r>
    </w:p>
    <w:p w14:paraId="0E453A0D" w14:textId="77777777" w:rsidR="00713362" w:rsidRPr="00972808" w:rsidRDefault="00713362" w:rsidP="00713362">
      <w:pPr>
        <w:pStyle w:val="SROdrka1"/>
        <w:tabs>
          <w:tab w:val="clear" w:pos="426"/>
        </w:tabs>
        <w:ind w:left="284" w:hanging="284"/>
      </w:pPr>
      <w:r w:rsidRPr="00972808">
        <w:t xml:space="preserve">výdaje </w:t>
      </w:r>
      <w:r w:rsidRPr="00972808">
        <w:rPr>
          <w:b/>
        </w:rPr>
        <w:t>na penzijní připojištění a doplňkové penzijní spoření</w:t>
      </w:r>
      <w:r w:rsidRPr="00972808">
        <w:t xml:space="preserve"> ve výši 7,5 mld. Kč, jedná se o meziroční růst o částku 0,5 mld. Kč;</w:t>
      </w:r>
    </w:p>
    <w:p w14:paraId="10D0C7B6" w14:textId="77777777" w:rsidR="00713362" w:rsidRPr="00972808" w:rsidRDefault="00713362" w:rsidP="00713362">
      <w:pPr>
        <w:pStyle w:val="SROdrka1"/>
        <w:tabs>
          <w:tab w:val="clear" w:pos="426"/>
        </w:tabs>
        <w:ind w:left="284" w:hanging="284"/>
      </w:pPr>
      <w:r w:rsidRPr="00972808">
        <w:rPr>
          <w:b/>
        </w:rPr>
        <w:t>výdaje na zajištění průběhu</w:t>
      </w:r>
      <w:r w:rsidRPr="00972808">
        <w:t xml:space="preserve"> </w:t>
      </w:r>
      <w:r w:rsidRPr="00972808">
        <w:rPr>
          <w:b/>
          <w:bCs/>
        </w:rPr>
        <w:t>voleb</w:t>
      </w:r>
      <w:r w:rsidRPr="00972808">
        <w:t xml:space="preserve"> jsou rozpočtovány ve výši 236 mil. Kč (z toho částka 92 mil. Kč je určena pro územní samosprávné celky);</w:t>
      </w:r>
    </w:p>
    <w:p w14:paraId="348A536E" w14:textId="77777777" w:rsidR="00713362" w:rsidRPr="00972808" w:rsidRDefault="00713362" w:rsidP="00713362">
      <w:pPr>
        <w:pStyle w:val="SROdrka1"/>
        <w:tabs>
          <w:tab w:val="clear" w:pos="426"/>
        </w:tabs>
        <w:ind w:left="284" w:hanging="284"/>
      </w:pPr>
      <w:r w:rsidRPr="00972808">
        <w:t>příspěvek politickým stranám činí 588,9 mil. Kč;</w:t>
      </w:r>
    </w:p>
    <w:p w14:paraId="39AF7349" w14:textId="77777777" w:rsidR="00713362" w:rsidRPr="00972808" w:rsidRDefault="00713362" w:rsidP="00713362">
      <w:pPr>
        <w:pStyle w:val="SROdrka1"/>
        <w:tabs>
          <w:tab w:val="clear" w:pos="426"/>
        </w:tabs>
        <w:ind w:left="284" w:hanging="284"/>
      </w:pPr>
      <w:r w:rsidRPr="00972808">
        <w:rPr>
          <w:b/>
        </w:rPr>
        <w:t xml:space="preserve">odškodnění </w:t>
      </w:r>
      <w:r w:rsidRPr="00972808">
        <w:t>obětem trestné činnosti, škody způsobené při výkonu veřejné moci, soudní spory z titulu ochrany osobnosti, soudní řízení o omezení vlastnického práva, ostatní náhrady celkem ve výši 850 mil. Kč;</w:t>
      </w:r>
    </w:p>
    <w:p w14:paraId="1AE68692" w14:textId="77777777" w:rsidR="00713362" w:rsidRPr="00972808" w:rsidRDefault="00713362" w:rsidP="00713362">
      <w:pPr>
        <w:pStyle w:val="SROdrka1"/>
        <w:tabs>
          <w:tab w:val="clear" w:pos="426"/>
        </w:tabs>
        <w:ind w:left="284" w:hanging="284"/>
      </w:pPr>
      <w:r w:rsidRPr="00972808">
        <w:t xml:space="preserve">financování </w:t>
      </w:r>
      <w:r w:rsidRPr="00972808">
        <w:rPr>
          <w:b/>
        </w:rPr>
        <w:t>stáží zaměstnanců</w:t>
      </w:r>
      <w:r w:rsidRPr="00972808">
        <w:t xml:space="preserve"> české státní správy v institucích EU ve výši 80 mil. Kč;</w:t>
      </w:r>
    </w:p>
    <w:p w14:paraId="18C55AB8" w14:textId="77777777" w:rsidR="00713362" w:rsidRPr="00972808" w:rsidRDefault="00713362" w:rsidP="00713362">
      <w:pPr>
        <w:pStyle w:val="SROdrka1"/>
        <w:tabs>
          <w:tab w:val="clear" w:pos="426"/>
        </w:tabs>
        <w:ind w:left="284" w:hanging="284"/>
      </w:pPr>
      <w:r w:rsidRPr="00972808">
        <w:rPr>
          <w:b/>
        </w:rPr>
        <w:t>náhrady podle zvláštních právních předpisů</w:t>
      </w:r>
      <w:r w:rsidRPr="00972808">
        <w:t xml:space="preserve"> vyplácené prostřednictvím krajských úřadů ve výši 310,2 mil. Kč;</w:t>
      </w:r>
    </w:p>
    <w:p w14:paraId="663609DA" w14:textId="77777777" w:rsidR="00713362" w:rsidRPr="00972808" w:rsidRDefault="00713362" w:rsidP="00713362">
      <w:pPr>
        <w:pStyle w:val="SROdrka1"/>
        <w:tabs>
          <w:tab w:val="clear" w:pos="426"/>
        </w:tabs>
        <w:ind w:left="284" w:hanging="284"/>
      </w:pPr>
      <w:r w:rsidRPr="00972808">
        <w:t>finanční vztahy státního rozpočtu k rozpočtům krajů, k rozpočtům obcí a k rozpočtu hl. m. Prahy jsou rozpočtovány ve výši 14,4 mld. Kč;</w:t>
      </w:r>
    </w:p>
    <w:p w14:paraId="4224D533" w14:textId="77777777" w:rsidR="00713362" w:rsidRPr="00972808" w:rsidRDefault="00713362" w:rsidP="00713362">
      <w:pPr>
        <w:pStyle w:val="SROdrka1"/>
        <w:tabs>
          <w:tab w:val="clear" w:pos="426"/>
        </w:tabs>
        <w:ind w:left="284" w:hanging="284"/>
      </w:pPr>
      <w:r w:rsidRPr="00972808">
        <w:t xml:space="preserve">výdaje na </w:t>
      </w:r>
      <w:r w:rsidRPr="00972808">
        <w:rPr>
          <w:b/>
        </w:rPr>
        <w:t>programové financování</w:t>
      </w:r>
      <w:r w:rsidRPr="00972808">
        <w:t xml:space="preserve"> celkem ve výši 68 mil. Kč, částka 55 mil. Kč je určena na výkupy pozemků pod silnicemi II. a III. třídy, částka 13 mil. Kč je rozpočtována na dotační podprogram „Podpora realizace protiradonových opatření“;</w:t>
      </w:r>
    </w:p>
    <w:p w14:paraId="1A13D9AD" w14:textId="77777777" w:rsidR="00713362" w:rsidRPr="00972808" w:rsidRDefault="00713362" w:rsidP="00713362">
      <w:pPr>
        <w:pStyle w:val="SROdrka1"/>
        <w:tabs>
          <w:tab w:val="clear" w:pos="426"/>
        </w:tabs>
        <w:ind w:left="284" w:hanging="284"/>
      </w:pPr>
      <w:r w:rsidRPr="00972808">
        <w:rPr>
          <w:b/>
        </w:rPr>
        <w:t>rezerva</w:t>
      </w:r>
      <w:r w:rsidRPr="00972808">
        <w:t xml:space="preserve"> na řešení krizových situací, jejich předcházení a odstraňování jejich následků (zákon č. 240/2000 Sb.) ve výši 140 mil. Kč;</w:t>
      </w:r>
    </w:p>
    <w:p w14:paraId="08293C00" w14:textId="702F1AC7" w:rsidR="00713362" w:rsidRPr="00972808" w:rsidRDefault="00713362" w:rsidP="009450B2">
      <w:pPr>
        <w:pStyle w:val="SROdrka1"/>
        <w:tabs>
          <w:tab w:val="clear" w:pos="426"/>
        </w:tabs>
        <w:ind w:left="284" w:hanging="284"/>
      </w:pPr>
      <w:r w:rsidRPr="00972808">
        <w:rPr>
          <w:b/>
        </w:rPr>
        <w:t>rezerva</w:t>
      </w:r>
      <w:r w:rsidRPr="00972808">
        <w:t xml:space="preserve"> na mimořádné výdaje podle zákona č. 239/2000 Sb. o integrovaném záchranném systému ve výši 60 mil. Kč.</w:t>
      </w:r>
    </w:p>
    <w:p w14:paraId="60EFBA3F" w14:textId="4C79B941" w:rsidR="009449E5" w:rsidRPr="00972808" w:rsidRDefault="009449E5" w:rsidP="007866E6">
      <w:pPr>
        <w:pStyle w:val="SRNadpis1"/>
      </w:pPr>
      <w:bookmarkStart w:id="273" w:name="_Ref238989294"/>
      <w:bookmarkStart w:id="274" w:name="_Toc239067862"/>
      <w:r w:rsidRPr="00972808">
        <w:lastRenderedPageBreak/>
        <w:t xml:space="preserve">Finanční vztahy k rozpočtu EU, EHP, Norsku a </w:t>
      </w:r>
      <w:r w:rsidR="00866244" w:rsidRPr="00972808">
        <w:br/>
      </w:r>
      <w:r w:rsidRPr="00972808">
        <w:t>Švýcarsku</w:t>
      </w:r>
      <w:bookmarkEnd w:id="268"/>
      <w:bookmarkEnd w:id="269"/>
      <w:bookmarkEnd w:id="273"/>
      <w:bookmarkEnd w:id="274"/>
    </w:p>
    <w:p w14:paraId="67C8E976" w14:textId="77777777" w:rsidR="00E91340" w:rsidRPr="00972808" w:rsidRDefault="00E91340" w:rsidP="00E91340">
      <w:pPr>
        <w:sectPr w:rsidR="00E91340" w:rsidRPr="00972808" w:rsidSect="00187B06">
          <w:type w:val="continuous"/>
          <w:pgSz w:w="11906" w:h="16838" w:code="9"/>
          <w:pgMar w:top="1134" w:right="1134" w:bottom="1134" w:left="1134" w:header="709" w:footer="709" w:gutter="0"/>
          <w:cols w:space="397"/>
          <w:docGrid w:linePitch="360"/>
        </w:sectPr>
      </w:pPr>
    </w:p>
    <w:p w14:paraId="21B14742" w14:textId="77777777" w:rsidR="00F12818" w:rsidRPr="00972808" w:rsidRDefault="00532301" w:rsidP="00D06E57">
      <w:pPr>
        <w:pStyle w:val="SRNadpis2"/>
      </w:pPr>
      <w:bookmarkStart w:id="275" w:name="_Toc239067863"/>
      <w:r w:rsidRPr="00972808">
        <w:t>Čistá pozice ČR vůči rozpočtu EU a finanční vztahy vůči FM</w:t>
      </w:r>
      <w:bookmarkEnd w:id="275"/>
    </w:p>
    <w:p w14:paraId="29077E54" w14:textId="77777777" w:rsidR="00F12818" w:rsidRPr="00972808" w:rsidRDefault="00F12818" w:rsidP="00D06E57">
      <w:pPr>
        <w:pStyle w:val="SRNadpis2"/>
        <w:sectPr w:rsidR="00F12818" w:rsidRPr="00972808" w:rsidSect="00187B06">
          <w:type w:val="continuous"/>
          <w:pgSz w:w="11906" w:h="16838" w:code="9"/>
          <w:pgMar w:top="1134" w:right="1134" w:bottom="1134" w:left="1134" w:header="709" w:footer="709" w:gutter="0"/>
          <w:cols w:space="397"/>
          <w:docGrid w:linePitch="360"/>
        </w:sectPr>
      </w:pPr>
    </w:p>
    <w:p w14:paraId="7A6CCF45" w14:textId="77777777" w:rsidR="0045351B" w:rsidRPr="00972808" w:rsidRDefault="0045351B" w:rsidP="0045351B">
      <w:pPr>
        <w:pStyle w:val="SRTextnomal"/>
      </w:pPr>
      <w:r w:rsidRPr="00972808">
        <w:t>Česká republika se jako člen EU podílí na financování rozpočtu EU a zároveň je i příjemcem přerozdělovaných finančních prostředků z rozpočtu EU.</w:t>
      </w:r>
    </w:p>
    <w:p w14:paraId="3B587B95" w14:textId="77777777" w:rsidR="0045351B" w:rsidRPr="00972808" w:rsidRDefault="0045351B" w:rsidP="0045351B">
      <w:pPr>
        <w:pStyle w:val="SRTextnomal"/>
      </w:pPr>
      <w:r w:rsidRPr="00972808">
        <w:t>Příjmy z fondů politiky soudržnosti (kohezní politiky), společné zemědělské politiky, fondů v oblasti vnitřních věcí, přímo či nepřímo řízených programů, umožňují v ČR financovat projekty v oblasti budování infrastruktury, ochrany životního prostředí, výzkumu, vzdělávání, zaměstnanosti, azylové a migrační politiky, digitalizace, snižování spotřeby energie apod. V reakci na celosvětovou politickou, společenskou, ekonomickou a zdravotní situaci členské státy EU využívají další příjmy z rozpočtu EU v rámci dočasného nástroje Evropské unie NextGenerationEU (dále jen „NGEU“) na podporu hospodářského oživení po pandemii a pomoc v souvislosti s uprchlickou krizí. Příjmy z NGEU tvoří prostředky z Nástroje pro oživení a odolnost na Národní plán obnovy, z Fondu pro spravedlivou transformaci, programu React-EU, kterým se navýšily prostředky fondů politiky soudržnosti a nástroje na obnovu EU EURI, kterým se doplnil program rozvoje venkova.</w:t>
      </w:r>
    </w:p>
    <w:p w14:paraId="4C89E429" w14:textId="77777777" w:rsidR="0045351B" w:rsidRPr="00972808" w:rsidRDefault="0045351B" w:rsidP="0045351B">
      <w:pPr>
        <w:pStyle w:val="SRTextnomal"/>
      </w:pPr>
      <w:r w:rsidRPr="00972808">
        <w:t>Odvody do rozpočtu EU, které jsou započítávány do čisté pozice, jsou tvořeny pouze vlastními zdroji (tj. zdroj dle DPH, zdroj dle HND, zdroj z nerecyklovaných plastových obalů a hrubé snížení zdrojů založených na HND hrazených ze státního rozpočtu a cla uvalená na dovozy do EU ze třetích zemí hrazená mimo státní rozpočet).</w:t>
      </w:r>
    </w:p>
    <w:p w14:paraId="2B8BA0E8" w14:textId="6102DB59" w:rsidR="00F41DB0" w:rsidRPr="00972808" w:rsidRDefault="0045351B" w:rsidP="0045351B">
      <w:pPr>
        <w:pStyle w:val="SRTextnomal"/>
        <w:rPr>
          <w:b/>
        </w:rPr>
      </w:pPr>
      <w:r w:rsidRPr="00972808">
        <w:t xml:space="preserve">Česká republika od svého vstupu do EU v roce 2004 do 30. 6. 2026 </w:t>
      </w:r>
      <w:r w:rsidRPr="00972808">
        <w:rPr>
          <w:b/>
        </w:rPr>
        <w:t xml:space="preserve">odvedla 1,05 bil. Kč </w:t>
      </w:r>
      <w:r w:rsidRPr="00972808">
        <w:t xml:space="preserve">a získala </w:t>
      </w:r>
      <w:r w:rsidRPr="00972808">
        <w:rPr>
          <w:b/>
        </w:rPr>
        <w:t xml:space="preserve">2,39 bil. Kč </w:t>
      </w:r>
      <w:r w:rsidRPr="00972808">
        <w:t xml:space="preserve">při započítání příjmů z NGEU. Kladné saldo ČR tak k 30. 6. 2026 činí </w:t>
      </w:r>
      <w:r w:rsidRPr="00972808">
        <w:rPr>
          <w:b/>
        </w:rPr>
        <w:t>1,34 bil. Kč.</w:t>
      </w:r>
      <w:r w:rsidRPr="00972808">
        <w:t xml:space="preserve"> Česká republika je tedy čistým příjemcem, tzn., že získává z rozpočtu EU více prostředků, než do něj odvádí, a tzv. </w:t>
      </w:r>
      <w:r w:rsidRPr="00972808">
        <w:rPr>
          <w:b/>
        </w:rPr>
        <w:t>čistá pozice ČR ve vztahu k rozpočtu EU je tak kladná.</w:t>
      </w:r>
    </w:p>
    <w:p w14:paraId="22529424" w14:textId="00D28227" w:rsidR="00E91340" w:rsidRPr="00972808" w:rsidRDefault="00E91340" w:rsidP="000D440D">
      <w:pPr>
        <w:pStyle w:val="SRTitulek1"/>
        <w:rPr>
          <w:i/>
        </w:rPr>
      </w:pPr>
      <w:bookmarkStart w:id="276" w:name="_Toc239067934"/>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25</w:t>
      </w:r>
      <w:r w:rsidR="00391DA8" w:rsidRPr="00972808">
        <w:rPr>
          <w:noProof/>
        </w:rPr>
        <w:fldChar w:fldCharType="end"/>
      </w:r>
      <w:r w:rsidRPr="00972808">
        <w:t xml:space="preserve"> Vývoj </w:t>
      </w:r>
      <w:r w:rsidR="00576FF3" w:rsidRPr="00972808">
        <w:t xml:space="preserve">čisté pozice ČR vůči rozpočtu EU </w:t>
      </w:r>
      <w:r w:rsidRPr="00972808">
        <w:rPr>
          <w:i/>
        </w:rPr>
        <w:t>(v mld. Kč)</w:t>
      </w:r>
      <w:bookmarkEnd w:id="276"/>
    </w:p>
    <w:p w14:paraId="5509FE1F" w14:textId="0AF021E1" w:rsidR="002955EA" w:rsidRPr="00972808" w:rsidRDefault="0045351B" w:rsidP="00F17546">
      <w:pPr>
        <w:pStyle w:val="SRTextnomal"/>
        <w:rPr>
          <w:noProof/>
        </w:rPr>
      </w:pPr>
      <w:r w:rsidRPr="00972808">
        <w:rPr>
          <w:noProof/>
        </w:rPr>
        <w:drawing>
          <wp:inline distT="0" distB="0" distL="0" distR="0" wp14:anchorId="63BD10A3" wp14:editId="797AAACC">
            <wp:extent cx="6157954" cy="3212465"/>
            <wp:effectExtent l="0" t="0" r="0" b="698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75264" cy="3221495"/>
                    </a:xfrm>
                    <a:prstGeom prst="rect">
                      <a:avLst/>
                    </a:prstGeom>
                    <a:noFill/>
                  </pic:spPr>
                </pic:pic>
              </a:graphicData>
            </a:graphic>
          </wp:inline>
        </w:drawing>
      </w:r>
    </w:p>
    <w:p w14:paraId="1B3DE3E3" w14:textId="77777777" w:rsidR="00A80412" w:rsidRPr="00972808" w:rsidRDefault="00A80412" w:rsidP="00F17546">
      <w:pPr>
        <w:pStyle w:val="SRTextnomal"/>
        <w:rPr>
          <w:noProof/>
        </w:rPr>
      </w:pPr>
    </w:p>
    <w:p w14:paraId="7B66CB51" w14:textId="77777777" w:rsidR="0036290E" w:rsidRPr="00972808" w:rsidRDefault="0036290E" w:rsidP="00F17546">
      <w:pPr>
        <w:pStyle w:val="SRTextnomal"/>
        <w:rPr>
          <w:noProof/>
        </w:rPr>
        <w:sectPr w:rsidR="0036290E" w:rsidRPr="00972808" w:rsidSect="00187B06">
          <w:type w:val="continuous"/>
          <w:pgSz w:w="11906" w:h="16838" w:code="9"/>
          <w:pgMar w:top="1134" w:right="1134" w:bottom="1134" w:left="1134" w:header="709" w:footer="709" w:gutter="0"/>
          <w:cols w:space="397"/>
          <w:docGrid w:linePitch="360"/>
        </w:sectPr>
      </w:pPr>
    </w:p>
    <w:p w14:paraId="7859CCD9" w14:textId="77777777" w:rsidR="0045351B" w:rsidRPr="00972808" w:rsidRDefault="0045351B" w:rsidP="0045351B">
      <w:pPr>
        <w:pStyle w:val="SRTextnomal"/>
      </w:pPr>
      <w:bookmarkStart w:id="277" w:name="_Toc52369891"/>
      <w:r w:rsidRPr="00972808">
        <w:t xml:space="preserve">Česká republika je také od roku 2004, kdy vstoupila do Evropské unie a tím také do Evropského hospodářského prostoru (EHP), který je dohodou mezi EU a zeměmi Evropského sdružení volného obchodu (ESVO), příjemcem podpory od Norska, Islandu a Lichtenštejnska v rámci tzv. </w:t>
      </w:r>
      <w:r w:rsidRPr="00972808">
        <w:rPr>
          <w:b/>
        </w:rPr>
        <w:t>Finančních mechanismů EHP a Norska</w:t>
      </w:r>
      <w:r w:rsidRPr="00972808">
        <w:t>. Mezi příjemce finanční podpory aktuálně patří 15 zemí ve střední, východní a jižní Evropě, tedy převážně takzvané nové členské státy EU.</w:t>
      </w:r>
    </w:p>
    <w:p w14:paraId="28148FCD" w14:textId="77777777" w:rsidR="0045351B" w:rsidRPr="00972808" w:rsidRDefault="0045351B" w:rsidP="0045351B">
      <w:pPr>
        <w:pStyle w:val="SRTextnomal"/>
        <w:rPr>
          <w:color w:val="000000"/>
        </w:rPr>
      </w:pPr>
      <w:r w:rsidRPr="00972808">
        <w:rPr>
          <w:bCs/>
        </w:rPr>
        <w:t xml:space="preserve">Oblasti podpory zahrnují např. </w:t>
      </w:r>
      <w:r w:rsidRPr="00972808">
        <w:t xml:space="preserve">revitalizaci kulturního dědictví, podporu současného umění, ochranu životního prostředí, řešení sociální problematiky a ochranu lidských práv, zdravotnictví, spolupráci ve vzdělání, vědě a výzkumu, posílení neziskového sektoru či spolupráci v justici. V prvním (2004–2009), druhém (2009–2014) a třetím (2014–2021) </w:t>
      </w:r>
      <w:r w:rsidRPr="00972808">
        <w:lastRenderedPageBreak/>
        <w:t>programovém období Finanční mechanismy EHP a Norska v České republice podpořily přes 1500 projektů za více než 11 mld. Kč.</w:t>
      </w:r>
      <w:r w:rsidRPr="00972808">
        <w:rPr>
          <w:color w:val="000000"/>
        </w:rPr>
        <w:t xml:space="preserve"> </w:t>
      </w:r>
    </w:p>
    <w:p w14:paraId="37DD85C3" w14:textId="77777777" w:rsidR="0045351B" w:rsidRPr="00972808" w:rsidRDefault="0045351B" w:rsidP="0045351B">
      <w:pPr>
        <w:pStyle w:val="SRTextnomal"/>
      </w:pPr>
      <w:r w:rsidRPr="00972808">
        <w:t xml:space="preserve">Od roku 2025 je realizováno čtvrté období </w:t>
      </w:r>
      <w:r w:rsidRPr="00972808">
        <w:rPr>
          <w:b/>
          <w:bCs/>
        </w:rPr>
        <w:t>(FM EHP/Norsko 4)</w:t>
      </w:r>
      <w:r w:rsidRPr="00972808">
        <w:t xml:space="preserve">, z nějž ČR obdrží částku cca 5,6 mld. Kč. Během roku 2026 by měly být schváleny všechny programy. </w:t>
      </w:r>
    </w:p>
    <w:p w14:paraId="48615EF5" w14:textId="5050461E" w:rsidR="0045351B" w:rsidRPr="00972808" w:rsidRDefault="0045351B" w:rsidP="0045351B">
      <w:pPr>
        <w:pStyle w:val="SRTextnomal"/>
      </w:pPr>
      <w:r w:rsidRPr="00972808">
        <w:t>Česká republika je také příjemcem podpory od Švýcarska v rámci tzv</w:t>
      </w:r>
      <w:r w:rsidRPr="00972808">
        <w:rPr>
          <w:bCs/>
        </w:rPr>
        <w:t>. Programu švýcarsko-české spolupráce.</w:t>
      </w:r>
      <w:r w:rsidRPr="00972808">
        <w:t xml:space="preserve"> V roce 2023 byla uzavřena mezinárodní smlouva na zahájení čerpání z tzv. Druhého švýcarského příspěvku (</w:t>
      </w:r>
      <w:r w:rsidRPr="00972808">
        <w:rPr>
          <w:b/>
        </w:rPr>
        <w:t>Program</w:t>
      </w:r>
      <w:r w:rsidR="00702405" w:rsidRPr="00972808">
        <w:rPr>
          <w:b/>
        </w:rPr>
        <w:t> </w:t>
      </w:r>
      <w:r w:rsidRPr="00972808">
        <w:rPr>
          <w:b/>
        </w:rPr>
        <w:t>švýcarsko</w:t>
      </w:r>
      <w:r w:rsidR="00702405" w:rsidRPr="00972808">
        <w:rPr>
          <w:b/>
        </w:rPr>
        <w:noBreakHyphen/>
      </w:r>
      <w:r w:rsidRPr="00972808">
        <w:rPr>
          <w:b/>
        </w:rPr>
        <w:t>české spolupráce 2</w:t>
      </w:r>
      <w:r w:rsidRPr="00972808">
        <w:t>).</w:t>
      </w:r>
    </w:p>
    <w:p w14:paraId="7F96408B" w14:textId="77777777" w:rsidR="000D1A3C" w:rsidRPr="00972808" w:rsidRDefault="000D1A3C" w:rsidP="00D06E57">
      <w:pPr>
        <w:pStyle w:val="SRNadpis2"/>
      </w:pPr>
      <w:bookmarkStart w:id="278" w:name="_Ref238989325"/>
      <w:bookmarkStart w:id="279" w:name="_Toc239067864"/>
      <w:r w:rsidRPr="00972808">
        <w:t>Výdaje státního rozpočtu v souvislosti s rozpočtem EU a finanč</w:t>
      </w:r>
      <w:r w:rsidR="005809A1" w:rsidRPr="00972808">
        <w:t>ními</w:t>
      </w:r>
      <w:r w:rsidRPr="00972808">
        <w:t xml:space="preserve"> mechanismy</w:t>
      </w:r>
      <w:bookmarkEnd w:id="278"/>
      <w:bookmarkEnd w:id="279"/>
    </w:p>
    <w:p w14:paraId="601F9B19" w14:textId="77777777" w:rsidR="0045351B" w:rsidRPr="00972808" w:rsidRDefault="0045351B" w:rsidP="0045351B">
      <w:pPr>
        <w:pStyle w:val="SRTextnomal"/>
      </w:pPr>
      <w:r w:rsidRPr="00972808">
        <w:t xml:space="preserve">Tyto výdaje lze rozdělit do tří kategorií. </w:t>
      </w:r>
    </w:p>
    <w:p w14:paraId="378DFDA7" w14:textId="77777777" w:rsidR="0045351B" w:rsidRPr="00972808" w:rsidRDefault="0045351B" w:rsidP="00344F6B">
      <w:pPr>
        <w:pStyle w:val="SROdrka1"/>
      </w:pPr>
      <w:r w:rsidRPr="00972808">
        <w:t xml:space="preserve">Členství v EU je podmíněno </w:t>
      </w:r>
      <w:r w:rsidRPr="00972808">
        <w:rPr>
          <w:b/>
          <w:bCs/>
        </w:rPr>
        <w:t>odvody členských států do rozpočtu EU</w:t>
      </w:r>
      <w:r w:rsidRPr="00972808">
        <w:t xml:space="preserve">, ze kterých je plněna příjmová strana rozpočtu EU. Z výdajového účtu státního rozpočtu kapitoly Všeobecná pokladní správa jsou hrazeny vlastní zdroje dle DPH, HND, z nerecyklovaných plastových obalů a hrubé snížení zdrojů založených na HND, případně další odvody do EU. Ve státním rozpočtu je na rok 2027 naplánována částka 85 mld. Kč na odvody vlastních zdrojů a částka 0,3 mld. Kč na makrofinanční pomoc Ukrajině. </w:t>
      </w:r>
    </w:p>
    <w:p w14:paraId="5D48B4E6" w14:textId="77777777" w:rsidR="0045351B" w:rsidRPr="00972808" w:rsidRDefault="0045351B" w:rsidP="00344F6B">
      <w:pPr>
        <w:pStyle w:val="SROdrka1"/>
      </w:pPr>
      <w:r w:rsidRPr="00972808">
        <w:t xml:space="preserve">Další kategorií jsou výdaje státního rozpočtu na </w:t>
      </w:r>
      <w:r w:rsidRPr="00972808">
        <w:rPr>
          <w:b/>
          <w:bCs/>
        </w:rPr>
        <w:t>předfinancování evropských politik</w:t>
      </w:r>
      <w:r w:rsidRPr="00972808">
        <w:t xml:space="preserve"> včetně podílu státního rozpočtu na spolufinancování. Celková částka vyčleněná na oblast EU dosahuje 128,8 mld. Kč; přičemž z toho 105,8 mld. Kč bude kryto příjmy z rozpočtu EU a 23 mld. Kč přispěje státní rozpočet na spolufinancování. </w:t>
      </w:r>
    </w:p>
    <w:p w14:paraId="4950D576" w14:textId="77777777" w:rsidR="0045351B" w:rsidRPr="00972808" w:rsidRDefault="0045351B" w:rsidP="00344F6B">
      <w:pPr>
        <w:pStyle w:val="SROdrka1"/>
      </w:pPr>
      <w:r w:rsidRPr="00972808">
        <w:t xml:space="preserve">Poslední samostatnou kategorií jsou prostředky na financování aktivit v rámci </w:t>
      </w:r>
      <w:r w:rsidRPr="00972808">
        <w:rPr>
          <w:b/>
          <w:bCs/>
        </w:rPr>
        <w:t>finančních mechanismů</w:t>
      </w:r>
      <w:r w:rsidRPr="00972808">
        <w:t xml:space="preserve"> (FM EHP a Norska a Programu švýcarsko-české spolupráce 2) v celkové výši 1,2 mld. Kč (podíl FM 1 mld. Kč a podíl SR 193,7 mil. Kč). V případě finančních mechanismů není Česká republika povinována žádnými odvody k vytváření zdrojů pro financování těchto aktivit.</w:t>
      </w:r>
    </w:p>
    <w:p w14:paraId="750DE885" w14:textId="77777777" w:rsidR="00041895" w:rsidRPr="00972808" w:rsidRDefault="00041895" w:rsidP="00AD317C">
      <w:pPr>
        <w:pStyle w:val="SRNadpis3"/>
      </w:pPr>
      <w:bookmarkStart w:id="280" w:name="_Toc239067865"/>
      <w:r w:rsidRPr="00972808">
        <w:t>Výdaje státního rozpočtu – odvod</w:t>
      </w:r>
      <w:r w:rsidR="00DD08B2" w:rsidRPr="00972808">
        <w:t>y</w:t>
      </w:r>
      <w:r w:rsidRPr="00972808">
        <w:t xml:space="preserve"> </w:t>
      </w:r>
      <w:r w:rsidR="00DD08B2" w:rsidRPr="00972808">
        <w:t xml:space="preserve">do </w:t>
      </w:r>
      <w:r w:rsidRPr="00972808">
        <w:t>E</w:t>
      </w:r>
      <w:r w:rsidR="00DD08B2" w:rsidRPr="00972808">
        <w:t>vropské unie</w:t>
      </w:r>
      <w:r w:rsidR="002955EA" w:rsidRPr="00972808">
        <w:t xml:space="preserve"> a makrofinanční pomoc + pro Ukrajinu</w:t>
      </w:r>
      <w:bookmarkEnd w:id="280"/>
    </w:p>
    <w:p w14:paraId="319E2224" w14:textId="4B98B3E6" w:rsidR="00041895" w:rsidRPr="00972808" w:rsidRDefault="00041895" w:rsidP="000D440D">
      <w:pPr>
        <w:pStyle w:val="SRTitulek1"/>
        <w:rPr>
          <w:i/>
        </w:rPr>
      </w:pPr>
      <w:bookmarkStart w:id="281" w:name="_Toc80264031"/>
      <w:bookmarkStart w:id="282" w:name="_Toc239067908"/>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39</w:t>
      </w:r>
      <w:r w:rsidR="00391DA8" w:rsidRPr="00972808">
        <w:rPr>
          <w:noProof/>
        </w:rPr>
        <w:fldChar w:fldCharType="end"/>
      </w:r>
      <w:r w:rsidRPr="00972808">
        <w:t xml:space="preserve"> Odvody </w:t>
      </w:r>
      <w:r w:rsidR="00DD08B2" w:rsidRPr="00972808">
        <w:t xml:space="preserve">do </w:t>
      </w:r>
      <w:r w:rsidRPr="00972808">
        <w:t xml:space="preserve">EU </w:t>
      </w:r>
      <w:r w:rsidRPr="00972808">
        <w:rPr>
          <w:i/>
        </w:rPr>
        <w:t>(v mld. Kč)</w:t>
      </w:r>
      <w:bookmarkEnd w:id="281"/>
      <w:bookmarkEnd w:id="282"/>
    </w:p>
    <w:p w14:paraId="1A90813E" w14:textId="03ACAB3D" w:rsidR="0068331C" w:rsidRPr="00972808" w:rsidRDefault="005C04F8" w:rsidP="002955EA">
      <w:pPr>
        <w:pStyle w:val="SRTextnomal"/>
        <w:keepNext/>
        <w:rPr>
          <w:rFonts w:cs="Arial"/>
        </w:rPr>
      </w:pPr>
      <w:r w:rsidRPr="00972808">
        <w:drawing>
          <wp:inline distT="0" distB="0" distL="0" distR="0" wp14:anchorId="50073B51" wp14:editId="4C8E237A">
            <wp:extent cx="6120130" cy="1152525"/>
            <wp:effectExtent l="0" t="0" r="0"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1152525"/>
                    </a:xfrm>
                    <a:prstGeom prst="rect">
                      <a:avLst/>
                    </a:prstGeom>
                    <a:noFill/>
                    <a:ln>
                      <a:noFill/>
                    </a:ln>
                  </pic:spPr>
                </pic:pic>
              </a:graphicData>
            </a:graphic>
          </wp:inline>
        </w:drawing>
      </w:r>
    </w:p>
    <w:bookmarkEnd w:id="277"/>
    <w:p w14:paraId="79E3F08B" w14:textId="77777777" w:rsidR="0045351B" w:rsidRPr="00972808" w:rsidRDefault="0045351B" w:rsidP="0045351B">
      <w:pPr>
        <w:pStyle w:val="SRTextnomal"/>
      </w:pPr>
      <w:r w:rsidRPr="00972808">
        <w:rPr>
          <w:rFonts w:cs="Arial"/>
          <w:i/>
          <w:sz w:val="16"/>
          <w:szCs w:val="16"/>
        </w:rPr>
        <w:t xml:space="preserve">Poznámka: Od roku 2024 do roku 2029 včetně příspěvku na úroky za makrofinanční pomoc Ukrajině (MFA+) = Macro-Financial Assistance </w:t>
      </w:r>
    </w:p>
    <w:p w14:paraId="2E08421E" w14:textId="77777777" w:rsidR="0045351B" w:rsidRPr="00972808" w:rsidRDefault="0045351B" w:rsidP="0045351B">
      <w:pPr>
        <w:pStyle w:val="SRTextnomal"/>
      </w:pPr>
      <w:r w:rsidRPr="00972808">
        <w:rPr>
          <w:b/>
          <w:bCs/>
        </w:rPr>
        <w:t>Na odvody vlastních zdrojů do rozpočtu EU je v roce 2027 rozpočtována celková částka 85,0 mld. Kč (z toho částka 71,5 mld. Kč na zdroj dle HND, částka 11 mld. Kč na zdroj dle DPH a částka 2,5 mld. Kč na zdroj dle objemu nerecyklovaných plastových obalových odpadů).</w:t>
      </w:r>
      <w:r w:rsidRPr="00972808">
        <w:t xml:space="preserve"> Základem pro stanovení její výše, která je o 14,3 mld. Kč vyšší než částka rozpočtovaná na rok 2026, byly zejména údaje o vlastních zdrojích uvedené pro Českou republiku v návrhu rozpočtu EU na rok 2027, který předložila Evropská komise v červnu 2026.</w:t>
      </w:r>
    </w:p>
    <w:p w14:paraId="0DDD361E" w14:textId="77777777" w:rsidR="0045351B" w:rsidRPr="00972808" w:rsidRDefault="0045351B" w:rsidP="0045351B">
      <w:pPr>
        <w:pStyle w:val="SRTextnomal"/>
      </w:pPr>
      <w:r w:rsidRPr="00972808">
        <w:t>Rozpočtovaná částka na odvody vlastních zdrojů do rozpočtu EU vychází z aktuálně známé situace a informací. Hlavním faktorem, který vede k nárůstu odvodů, je navýšení celkového objemu rozpočtu EU až nad rámec stropů při využití tzv. zvláštních nástrojů, a to zejména z důvodu zrychlení čerpání u vybraných politik (zejména kohezní politiky) a rovněž očekávaný relativně rychlejší růst HND ČR oproti průměru EU, který ovlivňuje podíl ČR na financování rozpočtu EU.  Současně je však rozpočet odvodů zatížen řadou nejistot, které přináší zejména současná geopolitická situace</w:t>
      </w:r>
      <w:r w:rsidRPr="00972808">
        <w:rPr>
          <w:vertAlign w:val="superscript"/>
        </w:rPr>
        <w:footnoteReference w:id="2"/>
      </w:r>
      <w:r w:rsidRPr="00972808">
        <w:t xml:space="preserve">, očekávaný plný náběh doposud zpožděných programů (kohezní politika), relativní ekonomický vývoj ČR vůči EU či výše vypořádání odvodů dle DPH, HND a nerecyklovaných plastových obalových odpadů (doplatky/přeplatky dle skutečného vývoje, tzv. „balances“) do rozpočtu EU za předchozí roky. V případě neočekávaných událostí a potřeby významnější </w:t>
      </w:r>
      <w:r w:rsidRPr="00972808">
        <w:lastRenderedPageBreak/>
        <w:t xml:space="preserve">finanční reakce na úrovni EU proto nelze vyloučit ani úpravy rozpočtu EU v průběhu roku 2027, které by mohly vést ke změnám ve výši požadovaných odvodů ze státního rozpočtu. </w:t>
      </w:r>
    </w:p>
    <w:p w14:paraId="7A71DFBB" w14:textId="77777777" w:rsidR="0045351B" w:rsidRPr="00972808" w:rsidRDefault="0045351B" w:rsidP="0045351B">
      <w:pPr>
        <w:pStyle w:val="SRTextnomal"/>
        <w:rPr>
          <w:b/>
          <w:bCs/>
        </w:rPr>
      </w:pPr>
      <w:r w:rsidRPr="00972808">
        <w:rPr>
          <w:b/>
          <w:bCs/>
        </w:rPr>
        <w:t xml:space="preserve">Kromě odvodu vlastních zdrojů do rozpočtu EU se rozpočtují výdaje na makrofinanční pomoc + pro Ukrajinu („MFA+“), </w:t>
      </w:r>
      <w:r w:rsidRPr="00972808">
        <w:t xml:space="preserve">která byla schválena v prosinci 2022, kdy na základě žádosti Ukrajiny dochází také k subvencování souvisejících úrokových sazeb a pokrytí správních nákladů. Ve společném prohlášení se členské státy zavázaly poskytnout příspěvky na úroky dle klíče daného podílem na hrubém národním důchodu (HND). </w:t>
      </w:r>
      <w:r w:rsidRPr="00972808">
        <w:rPr>
          <w:b/>
          <w:bCs/>
        </w:rPr>
        <w:t>Dle Dohody o přiznání příspěvku připadá na ČR v letech 2024–2027 dle klíče HND z roku 2022 celková částka přibližně 1,2 mld. Kč, tj. zhruba 300 mil. Kč ročně.</w:t>
      </w:r>
    </w:p>
    <w:p w14:paraId="1739FECC" w14:textId="77777777" w:rsidR="009449E5" w:rsidRPr="00972808" w:rsidRDefault="007E2D90" w:rsidP="00AD317C">
      <w:pPr>
        <w:pStyle w:val="SRNadpis3"/>
      </w:pPr>
      <w:bookmarkStart w:id="283" w:name="_Toc239067866"/>
      <w:r w:rsidRPr="00972808">
        <w:t>Výdaje na programy podporované z rozpočtu EU a finančních mechanismů</w:t>
      </w:r>
      <w:bookmarkEnd w:id="283"/>
    </w:p>
    <w:p w14:paraId="26F08D3C" w14:textId="77777777" w:rsidR="00742B45" w:rsidRPr="00972808" w:rsidRDefault="00742B45" w:rsidP="00742B45">
      <w:pPr>
        <w:sectPr w:rsidR="00742B45" w:rsidRPr="00972808" w:rsidSect="00187B06">
          <w:type w:val="continuous"/>
          <w:pgSz w:w="11906" w:h="16838" w:code="9"/>
          <w:pgMar w:top="1134" w:right="1134" w:bottom="1134" w:left="1134" w:header="709" w:footer="709" w:gutter="0"/>
          <w:cols w:space="397"/>
          <w:docGrid w:linePitch="360"/>
        </w:sectPr>
      </w:pPr>
    </w:p>
    <w:p w14:paraId="0AA7FB71" w14:textId="77777777" w:rsidR="0045351B" w:rsidRPr="00972808" w:rsidRDefault="0045351B" w:rsidP="0045351B">
      <w:pPr>
        <w:pStyle w:val="SRTextnomal"/>
      </w:pPr>
      <w:bookmarkStart w:id="284" w:name="_Toc80264027"/>
      <w:r w:rsidRPr="00972808">
        <w:t>Státní rozpočet hraje ve financování programů/projektů spolufinancovaných z rozpočtu EU a finančních mechanismů významnou roli. Výdaje na financování evropských politik a finančních mechanismů jsou ve většině případů nejdříve realizovány ze státního rozpočtu a poté vyrovnány platbami z rozpočtu EU/FM. Zbývající část připadá na národní spolufinancování, jehož je státní rozpočet klíčovým zdrojem. Poměr podílu výdajů krytých z rozpočtu EU/FM a podílu spolufinancování ze státního rozpočtu může ovlivňovat typ příjemců, jejich činnosti i kategorie regionů (méně rozvinuté, rozvinutější), jako je tomu například u fondů EU, respektive Evropských strukturálních a investičních fondů v rámci politiky soudržnosti. Obecně lze říci, že povinný podíl spolufinancování z národních zdrojů se ve víceletém finančním rámci 2021</w:t>
      </w:r>
      <w:r w:rsidRPr="00972808">
        <w:noBreakHyphen/>
        <w:t>2027 v porovnání s víceletým finančním rámcem 2014-2020 zvýšil.</w:t>
      </w:r>
    </w:p>
    <w:p w14:paraId="6965C6E2" w14:textId="77777777" w:rsidR="0045351B" w:rsidRPr="00972808" w:rsidRDefault="0045351B" w:rsidP="0045351B">
      <w:pPr>
        <w:pStyle w:val="SRTextnomal"/>
      </w:pPr>
      <w:r w:rsidRPr="00972808">
        <w:t xml:space="preserve">Pro rok 2027 byl základní princip rovnosti rozpočtovaných výdajů krytých příjmy z rozpočtu EU/FM dodržen. Obecně tento princip vnáší do hotovostně sestavovaného rozpočtu akruální prvek. Hotovostní plnění státního rozpočtu je touto skutečností ovlivněno jak kladně, tak záporně. Záleží na tom, v jaké fázi víceletého finančního rámce se nacházíme. Z těchto důvodů bylo již ve Státním závěrečném účtu od roku 2016 a v měsíčním plnění od roku 2017 zavedeno saldo očistěné o vliv EU/FM. </w:t>
      </w:r>
    </w:p>
    <w:p w14:paraId="008BCC15" w14:textId="77777777" w:rsidR="0045351B" w:rsidRPr="00972808" w:rsidRDefault="0045351B" w:rsidP="0045351B">
      <w:pPr>
        <w:pStyle w:val="SRTextnomal"/>
      </w:pPr>
      <w:r w:rsidRPr="00972808">
        <w:t xml:space="preserve">Protože je státní rozpočet schvalován každoročně, plánované prostředky by měly být také vyčerpány. Tvorba nevyčerpaných rezerv ve formě nároků z nespotřebovaných výdajů je povolena, ale zvyšování nárokových prostředků není žádoucí. Každý návrh státního rozpočtu musí s touto rezervou počítat a předcházet zkreslování plánu nereálnými představami o skutečném čerpání. Výše nároků z nespotřebovaných výdajů a dosavadní čerpání tak byly jedním z hlavních rozpočtových faktorů vstupujících do rozhodování o plánování prostředků. Dalším jsou fáze víceletého finančního rámce. </w:t>
      </w:r>
    </w:p>
    <w:p w14:paraId="0E20FE66" w14:textId="476D3486" w:rsidR="0045351B" w:rsidRPr="00972808" w:rsidRDefault="0045351B" w:rsidP="0045351B">
      <w:pPr>
        <w:pStyle w:val="SRTextnomal"/>
      </w:pPr>
      <w:r w:rsidRPr="00972808">
        <w:t xml:space="preserve">V roce 2027 se nacházíme v závěrečné fázi realizace programů a politik víceletého finančního rámce 2021-2027. Z toho důvodu se </w:t>
      </w:r>
      <w:r w:rsidRPr="00972808">
        <w:rPr>
          <w:b/>
          <w:bCs/>
        </w:rPr>
        <w:t>celkový objem prostředků za oblast EU v porovnání s rokem 2026 snižuje o 35,3 mld. Kč</w:t>
      </w:r>
      <w:r w:rsidRPr="00972808">
        <w:t xml:space="preserve">. Na druhou stranu </w:t>
      </w:r>
      <w:r w:rsidRPr="00972808">
        <w:rPr>
          <w:b/>
          <w:bCs/>
        </w:rPr>
        <w:t>objem prostředků rozpočtovaných na finanční mechanismy se v roce 2027 v porovnání s rokem 2026 zvyšuje o</w:t>
      </w:r>
      <w:r w:rsidR="00702405" w:rsidRPr="00972808">
        <w:rPr>
          <w:b/>
          <w:bCs/>
        </w:rPr>
        <w:t> </w:t>
      </w:r>
      <w:r w:rsidRPr="00972808">
        <w:rPr>
          <w:b/>
          <w:bCs/>
        </w:rPr>
        <w:t>354,5</w:t>
      </w:r>
      <w:r w:rsidR="00702405" w:rsidRPr="00972808">
        <w:rPr>
          <w:b/>
          <w:bCs/>
        </w:rPr>
        <w:t> </w:t>
      </w:r>
      <w:r w:rsidRPr="00972808">
        <w:rPr>
          <w:b/>
          <w:bCs/>
        </w:rPr>
        <w:t>mil. Kč</w:t>
      </w:r>
      <w:r w:rsidRPr="00972808">
        <w:t xml:space="preserve"> především díky plné realizaci Programu švýcarsko-české spolupráce 2.</w:t>
      </w:r>
    </w:p>
    <w:p w14:paraId="22CC4E73" w14:textId="77777777" w:rsidR="0045351B" w:rsidRPr="00972808" w:rsidRDefault="0045351B" w:rsidP="0045351B">
      <w:pPr>
        <w:pStyle w:val="SRTextnomal"/>
      </w:pPr>
      <w:r w:rsidRPr="00972808">
        <w:t xml:space="preserve">V roce 2027 jsou za oblast EU ve státním rozpočtu plánovány prostředky v rámci politiky soudržnosti, společné zemědělské politiky, azylové a migrační politiky, Nástroje pro propojení Evropy, Modernizačního fondu a dalších programů EU. </w:t>
      </w:r>
    </w:p>
    <w:p w14:paraId="12EA4405" w14:textId="57E973DF" w:rsidR="0045351B" w:rsidRPr="00972808" w:rsidRDefault="0045351B" w:rsidP="0045351B">
      <w:pPr>
        <w:pStyle w:val="SRTextnomal"/>
        <w:rPr>
          <w:b/>
          <w:bCs/>
        </w:rPr>
      </w:pPr>
      <w:r w:rsidRPr="00972808">
        <w:t xml:space="preserve">Prostředky EU jsou spravovány v režimu sdíleného, přímého nebo nepřímé řízení.  </w:t>
      </w:r>
      <w:r w:rsidRPr="00972808">
        <w:rPr>
          <w:b/>
          <w:bCs/>
        </w:rPr>
        <w:t xml:space="preserve">Prostředky EU řízené sdíleně, kdy EK řízení sdílí s členským státem, jsou objemově nejvýznamnější a patří do politiky soudržnosti, politiky oblasti vnitřních věcí a společné zemědělské politiky. </w:t>
      </w:r>
      <w:r w:rsidRPr="00972808">
        <w:t xml:space="preserve">Objemově největší operační program v rámci politiky soudržnosti je v roce 2027 Integrovaný regionální operační program v celkové výši 22,5 mld. Kč. Prioritou programu je vyvážený rozvoj území, zkvalitnění infrastruktury, zlepšení veřejných služeb a veřejné správy a zajištění udržitelného rozvoje v obcích, městech a regionech. </w:t>
      </w:r>
      <w:r w:rsidRPr="00972808">
        <w:rPr>
          <w:b/>
          <w:bCs/>
        </w:rPr>
        <w:t>Celkový objem prostředků na politiku soudržnosti a oblast vnitřních věcí se nicméně snižuje o 18 mld.</w:t>
      </w:r>
      <w:r w:rsidR="00702405" w:rsidRPr="00972808">
        <w:rPr>
          <w:b/>
          <w:bCs/>
        </w:rPr>
        <w:t> </w:t>
      </w:r>
      <w:r w:rsidRPr="00972808">
        <w:rPr>
          <w:b/>
          <w:bCs/>
        </w:rPr>
        <w:t>Kč.</w:t>
      </w:r>
      <w:r w:rsidRPr="00972808">
        <w:t xml:space="preserve"> Druhou a třetí pozici objemově nejvýznamnějších programů zaujímá Rozvoj venkova a Přímé platby v rámci Strategického plánu společné zemědělské politiky. </w:t>
      </w:r>
      <w:r w:rsidRPr="00972808">
        <w:rPr>
          <w:b/>
          <w:bCs/>
        </w:rPr>
        <w:t>V porovnání s předchozím rokem je na společnou zemědělskou politiku rozpočtováno o 2,1 mld. Kč více.</w:t>
      </w:r>
    </w:p>
    <w:p w14:paraId="4040326B" w14:textId="77777777" w:rsidR="0045351B" w:rsidRPr="00972808" w:rsidRDefault="0045351B" w:rsidP="0045351B">
      <w:pPr>
        <w:pStyle w:val="SRTextnomal"/>
        <w:rPr>
          <w:b/>
          <w:bCs/>
        </w:rPr>
      </w:pPr>
      <w:r w:rsidRPr="00972808">
        <w:t xml:space="preserve">Druhou skupinu programů tvoří přímo nebo nepřímo řízené programy EU. Od roku 2021 byl ze státního rozpočtu předfinancován dosud nejvýznamnější přímo řízený program Nástroj pro oživení a odolnost, který byl realizován prostřednictvím Národního plánu obnovy. V roce 2027 je rozpočtován pouze z národních prostředků projekt sdíleného řízení Strategická inteligence pro výzkum a inovace v rámci komponenty NPO 5.3. Strategicky řízený a mezinárodně konkurenceschopný ekosystém výzkumu, vývoje a inovací, který je realizován bez podpory z EU, ale v rámci NPO ve výši 48,5 mil. Kč v kapitole státního rozpočtu MŠMT.  Aktivity související s ukončováním Národního plánu obnovy budou financovány z nároků z nespotřebovaných profilujících výdajů vykázaných na programu NPO z předchozích let. </w:t>
      </w:r>
      <w:r w:rsidRPr="00972808">
        <w:rPr>
          <w:b/>
          <w:bCs/>
        </w:rPr>
        <w:t>Z přímo řízených programů je v roce 2027 klíčový Nástroj pro propojení Evropy plánovaný v celkové výši 6 mld. Kč.</w:t>
      </w:r>
      <w:r w:rsidRPr="00972808">
        <w:t xml:space="preserve"> Oproti předchozímu roku dochází ke zvýšení rozpočtovaných prostředků u tohoto nástroje o 1,9 mld. Kč. </w:t>
      </w:r>
      <w:r w:rsidRPr="00972808">
        <w:rPr>
          <w:b/>
          <w:bCs/>
        </w:rPr>
        <w:t>Celkově však vlivem ukončení Národního plánu obnovy je objem prostředků na přímo a nepřímo řízené programy EU snížen v porovnání s rokem 2026 o 19,4 mld. Kč.</w:t>
      </w:r>
    </w:p>
    <w:p w14:paraId="46B78E43" w14:textId="77777777" w:rsidR="0045351B" w:rsidRPr="00972808" w:rsidRDefault="0045351B" w:rsidP="0045351B">
      <w:pPr>
        <w:pStyle w:val="SRTextnomal"/>
        <w:rPr>
          <w:b/>
        </w:rPr>
      </w:pPr>
      <w:r w:rsidRPr="00972808">
        <w:lastRenderedPageBreak/>
        <w:t>Následující graf ukazuje objemově nejvýznamnější programy EU plánované v roce 2027.</w:t>
      </w:r>
    </w:p>
    <w:p w14:paraId="638F56CF" w14:textId="114FD3D8" w:rsidR="00BD6C46" w:rsidRPr="00972808" w:rsidRDefault="00BD6C46" w:rsidP="000D440D">
      <w:pPr>
        <w:pStyle w:val="SRTitulek1"/>
        <w:rPr>
          <w:i/>
        </w:rPr>
      </w:pPr>
      <w:bookmarkStart w:id="285" w:name="_Toc239067935"/>
      <w:bookmarkEnd w:id="284"/>
      <w:r w:rsidRPr="00972808">
        <w:t xml:space="preserve">Graf </w:t>
      </w:r>
      <w:r w:rsidR="00391DA8" w:rsidRPr="00972808">
        <w:fldChar w:fldCharType="begin"/>
      </w:r>
      <w:r w:rsidR="00391DA8" w:rsidRPr="00972808">
        <w:instrText xml:space="preserve"> SEQ Graf \* ARABIC </w:instrText>
      </w:r>
      <w:r w:rsidR="00391DA8" w:rsidRPr="00972808">
        <w:fldChar w:fldCharType="separate"/>
      </w:r>
      <w:r w:rsidR="00344480">
        <w:rPr>
          <w:noProof/>
        </w:rPr>
        <w:t>26</w:t>
      </w:r>
      <w:r w:rsidR="00391DA8" w:rsidRPr="00972808">
        <w:rPr>
          <w:noProof/>
        </w:rPr>
        <w:fldChar w:fldCharType="end"/>
      </w:r>
      <w:r w:rsidRPr="00972808">
        <w:t xml:space="preserve"> </w:t>
      </w:r>
      <w:r w:rsidR="006102E2" w:rsidRPr="00972808">
        <w:t>Přehled o programech/projektech EU (vč. podílu SR) v roce 202</w:t>
      </w:r>
      <w:r w:rsidR="0045351B" w:rsidRPr="00972808">
        <w:t>7</w:t>
      </w:r>
      <w:r w:rsidR="006102E2" w:rsidRPr="00972808">
        <w:t xml:space="preserve"> </w:t>
      </w:r>
      <w:r w:rsidR="006102E2" w:rsidRPr="00972808">
        <w:rPr>
          <w:i/>
        </w:rPr>
        <w:t>(v mil. Kč)</w:t>
      </w:r>
      <w:bookmarkEnd w:id="285"/>
    </w:p>
    <w:p w14:paraId="0D021C84" w14:textId="4BF21070" w:rsidR="00CC4C03" w:rsidRPr="00972808" w:rsidRDefault="0045351B" w:rsidP="00396457">
      <w:pPr>
        <w:pStyle w:val="SRTextnomal"/>
      </w:pPr>
      <w:r w:rsidRPr="00972808">
        <w:rPr>
          <w:noProof/>
        </w:rPr>
        <w:drawing>
          <wp:inline distT="0" distB="0" distL="0" distR="0" wp14:anchorId="3456C882" wp14:editId="5E0B7257">
            <wp:extent cx="6208868" cy="3301365"/>
            <wp:effectExtent l="0" t="0" r="190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20081" cy="3307327"/>
                    </a:xfrm>
                    <a:prstGeom prst="rect">
                      <a:avLst/>
                    </a:prstGeom>
                    <a:noFill/>
                  </pic:spPr>
                </pic:pic>
              </a:graphicData>
            </a:graphic>
          </wp:inline>
        </w:drawing>
      </w:r>
    </w:p>
    <w:p w14:paraId="7476D67D" w14:textId="77777777" w:rsidR="00B51F9B" w:rsidRPr="00972808" w:rsidRDefault="00B51F9B" w:rsidP="00396457">
      <w:pPr>
        <w:pStyle w:val="SRTextnomal"/>
      </w:pPr>
    </w:p>
    <w:p w14:paraId="154E7F2A" w14:textId="77777777" w:rsidR="0045351B" w:rsidRPr="00972808" w:rsidRDefault="0045351B" w:rsidP="0045351B">
      <w:pPr>
        <w:pStyle w:val="SRTextnomal"/>
      </w:pPr>
      <w:r w:rsidRPr="00972808">
        <w:t xml:space="preserve">V roce 2027 budou v rámci </w:t>
      </w:r>
      <w:r w:rsidRPr="00972808">
        <w:rPr>
          <w:b/>
          <w:bCs/>
        </w:rPr>
        <w:t>finančních mechanismů</w:t>
      </w:r>
      <w:r w:rsidRPr="00972808">
        <w:t xml:space="preserve">, tj. v rámci Finančních mechanismů EHP a Norska a Programu švýcarsko-české spolupráce 2, čerpány jak výdaje spojené s koordinací a řízením na národní úrovni, tak výdaje na řízení programů a financování jednotlivých schválených projektů, zejména v Programu švýcarsko-české spolupráce 2. ČR je zavázána zajistit z národních zdrojů (tj. státního rozpočtu) 15 % spolufinancování všech výdajů na úrovni jednotlivých programů. Tento fakt má vliv na výši prostředků určených na spolufinancování ze státního rozpočtu. </w:t>
      </w:r>
    </w:p>
    <w:p w14:paraId="7F711D76" w14:textId="77777777" w:rsidR="0045351B" w:rsidRPr="00972808" w:rsidRDefault="0045351B" w:rsidP="0045351B">
      <w:pPr>
        <w:pStyle w:val="SRTextnomal"/>
      </w:pPr>
      <w:r w:rsidRPr="00972808">
        <w:t xml:space="preserve">Co se týče </w:t>
      </w:r>
      <w:r w:rsidRPr="00972808">
        <w:rPr>
          <w:b/>
          <w:bCs/>
        </w:rPr>
        <w:t>EHP/Norsko 4,</w:t>
      </w:r>
      <w:r w:rsidRPr="00972808">
        <w:t xml:space="preserve"> lze v roce 2027 očekávat čerpání prostředků na řízení programů, Fond pro bilaterální vztahy a Technickou asistenci na národní úrovni (Ministerstvo financí). Může být také zahájena realizace prvních projektů. </w:t>
      </w:r>
    </w:p>
    <w:p w14:paraId="31842257" w14:textId="77777777" w:rsidR="0045351B" w:rsidRPr="00972808" w:rsidRDefault="0045351B" w:rsidP="0045351B">
      <w:pPr>
        <w:pStyle w:val="SRTextnomal"/>
      </w:pPr>
      <w:r w:rsidRPr="00972808">
        <w:t xml:space="preserve">Pokud se jedná o </w:t>
      </w:r>
      <w:r w:rsidRPr="00972808">
        <w:rPr>
          <w:b/>
          <w:bCs/>
        </w:rPr>
        <w:t>Program švýcarsko-české spolupráce,</w:t>
      </w:r>
      <w:r w:rsidRPr="00972808">
        <w:t xml:space="preserve"> budou v roce v roce 2027 v realizaci všechny projekty schválené v oblasti ochrany životního prostředí, vědy a výzkumu, migrace a domácí péče a jejich čerpání bude v tomto roce intenzivní. V roce 2027 bude také pokračovat čerpání výdajů na Technickou podporu na národní úrovni (Ministerstvo financí) a výdajů na řízení programů. </w:t>
      </w:r>
    </w:p>
    <w:p w14:paraId="5A39F30A" w14:textId="77777777" w:rsidR="0045351B" w:rsidRPr="00972808" w:rsidRDefault="0045351B" w:rsidP="0045351B">
      <w:pPr>
        <w:pStyle w:val="SRTextnomal"/>
      </w:pPr>
      <w:r w:rsidRPr="00972808">
        <w:t xml:space="preserve">Následující tabulka shrnuje výše popsané. </w:t>
      </w:r>
    </w:p>
    <w:p w14:paraId="26F1466F" w14:textId="18902C62" w:rsidR="00B51F9B" w:rsidRPr="00972808" w:rsidRDefault="00B51F9B" w:rsidP="00B51F9B">
      <w:pPr>
        <w:pStyle w:val="SRTitulek1"/>
        <w:rPr>
          <w:i/>
        </w:rPr>
      </w:pPr>
      <w:bookmarkStart w:id="286" w:name="_Toc239067909"/>
      <w:r w:rsidRPr="00972808">
        <w:t xml:space="preserve">Tabulka </w:t>
      </w:r>
      <w:r w:rsidR="00391DA8" w:rsidRPr="00972808">
        <w:fldChar w:fldCharType="begin"/>
      </w:r>
      <w:r w:rsidR="00391DA8" w:rsidRPr="00972808">
        <w:instrText xml:space="preserve"> SEQ Tabulka \* ARABIC </w:instrText>
      </w:r>
      <w:r w:rsidR="00391DA8" w:rsidRPr="00972808">
        <w:fldChar w:fldCharType="separate"/>
      </w:r>
      <w:r w:rsidR="00344480">
        <w:rPr>
          <w:noProof/>
        </w:rPr>
        <w:t>40</w:t>
      </w:r>
      <w:r w:rsidR="00391DA8" w:rsidRPr="00972808">
        <w:rPr>
          <w:noProof/>
        </w:rPr>
        <w:fldChar w:fldCharType="end"/>
      </w:r>
      <w:r w:rsidRPr="00972808">
        <w:t xml:space="preserve"> Porovnání výdajů za oblast EU/FM </w:t>
      </w:r>
      <w:r w:rsidRPr="00972808">
        <w:rPr>
          <w:i/>
        </w:rPr>
        <w:t>(v mil. Kč)</w:t>
      </w:r>
      <w:bookmarkEnd w:id="286"/>
    </w:p>
    <w:p w14:paraId="1127D2B7" w14:textId="23A59149" w:rsidR="00B51F9B" w:rsidRPr="00972808" w:rsidRDefault="0045351B" w:rsidP="00396457">
      <w:pPr>
        <w:pStyle w:val="SRTextnomal"/>
      </w:pPr>
      <w:r w:rsidRPr="00972808">
        <w:rPr>
          <w:noProof/>
        </w:rPr>
        <w:drawing>
          <wp:inline distT="0" distB="0" distL="0" distR="0" wp14:anchorId="5A0B71C3" wp14:editId="44C451F4">
            <wp:extent cx="6120130" cy="206184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0130" cy="2061845"/>
                    </a:xfrm>
                    <a:prstGeom prst="rect">
                      <a:avLst/>
                    </a:prstGeom>
                    <a:noFill/>
                    <a:ln>
                      <a:noFill/>
                    </a:ln>
                  </pic:spPr>
                </pic:pic>
              </a:graphicData>
            </a:graphic>
          </wp:inline>
        </w:drawing>
      </w:r>
    </w:p>
    <w:p w14:paraId="2E04A8D1" w14:textId="77777777" w:rsidR="0045351B" w:rsidRPr="00972808" w:rsidRDefault="0045351B" w:rsidP="0045351B">
      <w:pPr>
        <w:pStyle w:val="SRTextnomal"/>
      </w:pPr>
    </w:p>
    <w:p w14:paraId="2D7D69D7" w14:textId="0897437C" w:rsidR="0045351B" w:rsidRPr="00972808" w:rsidRDefault="0045351B" w:rsidP="0045351B">
      <w:pPr>
        <w:pStyle w:val="SRTextnomal"/>
      </w:pPr>
      <w:r w:rsidRPr="00972808">
        <w:lastRenderedPageBreak/>
        <w:t xml:space="preserve">Tabulky č. 7 a č. 8 v tabulkové části rozpočtové dokumentace nabízí detailní přehled o rozpočtovaných programech/projektech EU/FM v členění na kapitoly státního rozpočtu, podíl státního rozpočtu a podíl EU včetně informace o výdajích na vývoj, výzkum a inovace a dělení na kapitálové a běžné výdaje. </w:t>
      </w:r>
    </w:p>
    <w:p w14:paraId="215E597D" w14:textId="77777777" w:rsidR="0007317A" w:rsidRPr="00972808" w:rsidRDefault="0007317A" w:rsidP="007866E6">
      <w:pPr>
        <w:pStyle w:val="SRNadpis1"/>
      </w:pPr>
      <w:bookmarkStart w:id="287" w:name="_Toc52369895"/>
      <w:bookmarkStart w:id="288" w:name="_Toc239067867"/>
      <w:bookmarkEnd w:id="270"/>
      <w:bookmarkEnd w:id="271"/>
      <w:r w:rsidRPr="00972808">
        <w:lastRenderedPageBreak/>
        <w:t>Přílohy</w:t>
      </w:r>
      <w:bookmarkStart w:id="289" w:name="_Hlk237529330"/>
      <w:bookmarkEnd w:id="287"/>
      <w:bookmarkEnd w:id="288"/>
    </w:p>
    <w:p w14:paraId="3B9BDD4A" w14:textId="77777777" w:rsidR="00C030CB" w:rsidRPr="00972808" w:rsidRDefault="00C030CB" w:rsidP="00CB00DB">
      <w:pPr>
        <w:pStyle w:val="SRNadpisploh"/>
      </w:pPr>
      <w:bookmarkStart w:id="290" w:name="_Toc239067868"/>
      <w:r w:rsidRPr="00972808">
        <w:t>Příloha č. 1:</w:t>
      </w:r>
      <w:r w:rsidRPr="00972808">
        <w:tab/>
        <w:t>Vývoj mandatorních výdajů</w:t>
      </w:r>
      <w:bookmarkEnd w:id="290"/>
    </w:p>
    <w:p w14:paraId="3F5B2A0A" w14:textId="426898F2" w:rsidR="00954B75" w:rsidRDefault="00C030CB" w:rsidP="00C65AA3">
      <w:pPr>
        <w:pStyle w:val="SRNadpisploh"/>
      </w:pPr>
      <w:bookmarkStart w:id="291" w:name="_Toc239067869"/>
      <w:r w:rsidRPr="00972808">
        <w:t xml:space="preserve">Příloha č. </w:t>
      </w:r>
      <w:r w:rsidR="00C07812" w:rsidRPr="00972808">
        <w:t>2</w:t>
      </w:r>
      <w:r w:rsidRPr="00972808">
        <w:t>:</w:t>
      </w:r>
      <w:r w:rsidR="00A60F16" w:rsidRPr="00972808">
        <w:tab/>
      </w:r>
      <w:r w:rsidRPr="00972808">
        <w:t xml:space="preserve">Kvantifikace daňových úlev v České republice za rok </w:t>
      </w:r>
      <w:r w:rsidR="003A2FC8" w:rsidRPr="00972808">
        <w:t>20</w:t>
      </w:r>
      <w:r w:rsidR="00972941" w:rsidRPr="00972808">
        <w:t>2</w:t>
      </w:r>
      <w:r w:rsidR="008A0FAA" w:rsidRPr="00972808">
        <w:t>4</w:t>
      </w:r>
      <w:bookmarkEnd w:id="291"/>
    </w:p>
    <w:p w14:paraId="48632139" w14:textId="77777777" w:rsidR="00972941" w:rsidRPr="00DD52A5" w:rsidRDefault="00972941" w:rsidP="00C65AA3">
      <w:pPr>
        <w:pStyle w:val="SRNadpisploh"/>
      </w:pPr>
    </w:p>
    <w:bookmarkEnd w:id="289"/>
    <w:p w14:paraId="55FBC189" w14:textId="77777777" w:rsidR="00F531FD" w:rsidRPr="00DD52A5" w:rsidRDefault="00F531FD"/>
    <w:sectPr w:rsidR="00F531FD" w:rsidRPr="00DD52A5" w:rsidSect="00187B06">
      <w:type w:val="continuous"/>
      <w:pgSz w:w="11906" w:h="16838" w:code="9"/>
      <w:pgMar w:top="1134" w:right="1134" w:bottom="1134" w:left="1134" w:header="709" w:footer="709" w:gutter="0"/>
      <w:cols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869A23" w14:textId="77777777" w:rsidR="00AF1331" w:rsidRDefault="00AF1331">
      <w:r>
        <w:separator/>
      </w:r>
    </w:p>
    <w:p w14:paraId="6AD427A0" w14:textId="77777777" w:rsidR="00AF1331" w:rsidRDefault="00AF1331"/>
    <w:p w14:paraId="68010927" w14:textId="77777777" w:rsidR="00AF1331" w:rsidRDefault="00AF1331"/>
  </w:endnote>
  <w:endnote w:type="continuationSeparator" w:id="0">
    <w:p w14:paraId="5D8D38CF" w14:textId="77777777" w:rsidR="00AF1331" w:rsidRDefault="00AF1331">
      <w:r>
        <w:continuationSeparator/>
      </w:r>
    </w:p>
    <w:p w14:paraId="0DC933E5" w14:textId="77777777" w:rsidR="00AF1331" w:rsidRDefault="00AF1331"/>
    <w:p w14:paraId="7AD891BC" w14:textId="77777777" w:rsidR="00AF1331" w:rsidRDefault="00AF1331"/>
  </w:endnote>
  <w:endnote w:type="continuationNotice" w:id="1">
    <w:p w14:paraId="18D3F65B" w14:textId="77777777" w:rsidR="00AF1331" w:rsidRDefault="00AF13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page" w:tblpX="7939" w:tblpY="1"/>
      <w:tblOverlap w:val="never"/>
      <w:tblW w:w="1881"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2921"/>
      <w:gridCol w:w="703"/>
    </w:tblGrid>
    <w:tr w:rsidR="00AF1331" w:rsidRPr="00175F17" w14:paraId="10FE9775" w14:textId="77777777" w:rsidTr="0053496B">
      <w:trPr>
        <w:cantSplit/>
      </w:trPr>
      <w:tc>
        <w:tcPr>
          <w:tcW w:w="4030" w:type="pct"/>
          <w:shd w:val="clear" w:color="auto" w:fill="auto"/>
          <w:vAlign w:val="center"/>
        </w:tcPr>
        <w:p w14:paraId="59FF58BF" w14:textId="77777777" w:rsidR="00AF1331" w:rsidRDefault="00AF1331" w:rsidP="002B367F">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zákonu </w:t>
          </w:r>
          <w:r w:rsidRPr="00CE734A">
            <w:rPr>
              <w:b/>
              <w:color w:val="999999"/>
              <w:sz w:val="16"/>
              <w:szCs w:val="16"/>
            </w:rPr>
            <w:t>o státním rozp</w:t>
          </w:r>
          <w:r>
            <w:rPr>
              <w:b/>
              <w:color w:val="999999"/>
              <w:sz w:val="16"/>
              <w:szCs w:val="16"/>
            </w:rPr>
            <w:t xml:space="preserve">očtu </w:t>
          </w:r>
        </w:p>
        <w:p w14:paraId="33FC6E9B" w14:textId="77777777" w:rsidR="00AF1331" w:rsidRPr="0017797C" w:rsidRDefault="00AF1331" w:rsidP="002B367F">
          <w:pPr>
            <w:suppressAutoHyphens/>
            <w:spacing w:after="0"/>
            <w:jc w:val="right"/>
            <w:rPr>
              <w:b/>
              <w:noProof/>
              <w:color w:val="999999"/>
              <w:sz w:val="16"/>
              <w:szCs w:val="16"/>
            </w:rPr>
          </w:pPr>
          <w:r>
            <w:rPr>
              <w:b/>
              <w:color w:val="999999"/>
              <w:sz w:val="16"/>
              <w:szCs w:val="16"/>
            </w:rPr>
            <w:t>České republiky na rok 2024</w:t>
          </w:r>
        </w:p>
      </w:tc>
      <w:tc>
        <w:tcPr>
          <w:tcW w:w="970" w:type="pct"/>
          <w:shd w:val="clear" w:color="auto" w:fill="auto"/>
          <w:vAlign w:val="center"/>
        </w:tcPr>
        <w:p w14:paraId="762BFFBB" w14:textId="77777777" w:rsidR="00AF1331" w:rsidRPr="006E3BB6" w:rsidRDefault="00AF1331" w:rsidP="002B367F">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2</w:t>
          </w:r>
          <w:r w:rsidRPr="00175F17">
            <w:rPr>
              <w:rStyle w:val="slostrnky"/>
              <w:sz w:val="32"/>
              <w:szCs w:val="32"/>
            </w:rPr>
            <w:fldChar w:fldCharType="end"/>
          </w:r>
        </w:p>
      </w:tc>
    </w:tr>
  </w:tbl>
  <w:p w14:paraId="120513FC" w14:textId="77777777" w:rsidR="00AF1331" w:rsidRDefault="00AF1331" w:rsidP="002B367F">
    <w:pPr>
      <w:pStyle w:val="Zpat"/>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Spec="right" w:tblpY="1"/>
      <w:tblOverlap w:val="never"/>
      <w:tblW w:w="0" w:type="auto"/>
      <w:tblLook w:val="01E0" w:firstRow="1" w:lastRow="1" w:firstColumn="1" w:lastColumn="1" w:noHBand="0" w:noVBand="0"/>
    </w:tblPr>
    <w:tblGrid>
      <w:gridCol w:w="3260"/>
      <w:gridCol w:w="551"/>
    </w:tblGrid>
    <w:tr w:rsidR="00C22D0E" w:rsidRPr="00175F17" w14:paraId="4CF40532" w14:textId="77777777" w:rsidTr="00D450AA">
      <w:trPr>
        <w:cantSplit/>
      </w:trPr>
      <w:tc>
        <w:tcPr>
          <w:tcW w:w="3260" w:type="dxa"/>
          <w:tcBorders>
            <w:right w:val="single" w:sz="12" w:space="0" w:color="AEAAAA" w:themeColor="background2" w:themeShade="BF"/>
          </w:tcBorders>
          <w:shd w:val="clear" w:color="auto" w:fill="auto"/>
          <w:vAlign w:val="center"/>
        </w:tcPr>
        <w:p w14:paraId="69209AF1" w14:textId="77777777" w:rsidR="00D450AA" w:rsidRPr="00D450AA" w:rsidRDefault="00D450AA" w:rsidP="00D450AA">
          <w:pPr>
            <w:suppressAutoHyphens/>
            <w:spacing w:after="0"/>
            <w:jc w:val="right"/>
            <w:rPr>
              <w:b/>
              <w:color w:val="999999"/>
              <w:sz w:val="16"/>
              <w:szCs w:val="16"/>
            </w:rPr>
          </w:pPr>
          <w:r w:rsidRPr="00D450AA">
            <w:rPr>
              <w:b/>
              <w:color w:val="999999"/>
              <w:sz w:val="16"/>
              <w:szCs w:val="16"/>
            </w:rPr>
            <w:t xml:space="preserve">Zpráva k návrhu zákona o státním rozpočtu </w:t>
          </w:r>
        </w:p>
        <w:p w14:paraId="0D3AC30A" w14:textId="22E504AA" w:rsidR="00C22D0E" w:rsidRPr="0017797C" w:rsidRDefault="00D450AA" w:rsidP="00D450AA">
          <w:pPr>
            <w:suppressAutoHyphens/>
            <w:spacing w:after="0"/>
            <w:jc w:val="right"/>
            <w:rPr>
              <w:b/>
              <w:noProof/>
              <w:color w:val="999999"/>
              <w:sz w:val="16"/>
              <w:szCs w:val="16"/>
            </w:rPr>
          </w:pPr>
          <w:r w:rsidRPr="00D450AA">
            <w:rPr>
              <w:b/>
              <w:color w:val="999999"/>
              <w:sz w:val="16"/>
              <w:szCs w:val="16"/>
            </w:rPr>
            <w:t>České republiky na rok 2027</w:t>
          </w:r>
        </w:p>
      </w:tc>
      <w:tc>
        <w:tcPr>
          <w:tcW w:w="551" w:type="dxa"/>
          <w:tcBorders>
            <w:left w:val="single" w:sz="12" w:space="0" w:color="AEAAAA" w:themeColor="background2" w:themeShade="BF"/>
          </w:tcBorders>
          <w:vAlign w:val="center"/>
        </w:tcPr>
        <w:p w14:paraId="22590A7C" w14:textId="77777777" w:rsidR="00C22D0E" w:rsidRPr="006E3BB6" w:rsidRDefault="00C22D0E" w:rsidP="00E6316C">
          <w:pPr>
            <w:spacing w:after="0"/>
            <w:jc w:val="righ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20</w:t>
          </w:r>
          <w:r w:rsidRPr="00175F17">
            <w:rPr>
              <w:rStyle w:val="slostrnky"/>
              <w:sz w:val="32"/>
              <w:szCs w:val="32"/>
            </w:rPr>
            <w:fldChar w:fldCharType="end"/>
          </w:r>
        </w:p>
      </w:tc>
    </w:tr>
  </w:tbl>
  <w:p w14:paraId="48783A50" w14:textId="77777777" w:rsidR="00C22D0E" w:rsidRPr="00A12A05" w:rsidRDefault="00C22D0E" w:rsidP="00A12A05">
    <w:pPr>
      <w:pStyle w:val="Zp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142" w:tblpY="1"/>
      <w:tblOverlap w:val="never"/>
      <w:tblW w:w="2059" w:type="pct"/>
      <w:tblLook w:val="01E0" w:firstRow="1" w:lastRow="1" w:firstColumn="1" w:lastColumn="1" w:noHBand="0" w:noVBand="0"/>
    </w:tblPr>
    <w:tblGrid>
      <w:gridCol w:w="567"/>
      <w:gridCol w:w="3402"/>
    </w:tblGrid>
    <w:tr w:rsidR="00AF1331" w:rsidRPr="00175F17" w14:paraId="793C99E1" w14:textId="77777777" w:rsidTr="00D450AA">
      <w:trPr>
        <w:cantSplit/>
      </w:trPr>
      <w:tc>
        <w:tcPr>
          <w:tcW w:w="714" w:type="pct"/>
          <w:tcBorders>
            <w:right w:val="single" w:sz="18" w:space="0" w:color="808080" w:themeColor="background1" w:themeShade="80"/>
          </w:tcBorders>
          <w:vAlign w:val="center"/>
        </w:tcPr>
        <w:p w14:paraId="1CDF29CE" w14:textId="0B956B4E" w:rsidR="00AF1331" w:rsidRPr="006E3BB6" w:rsidRDefault="00AF1331" w:rsidP="00E6316C">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19</w:t>
          </w:r>
          <w:r w:rsidRPr="00175F17">
            <w:rPr>
              <w:rStyle w:val="slostrnky"/>
              <w:sz w:val="32"/>
              <w:szCs w:val="32"/>
            </w:rPr>
            <w:fldChar w:fldCharType="end"/>
          </w:r>
        </w:p>
      </w:tc>
      <w:tc>
        <w:tcPr>
          <w:tcW w:w="4286" w:type="pct"/>
          <w:tcBorders>
            <w:left w:val="single" w:sz="18" w:space="0" w:color="808080" w:themeColor="background1" w:themeShade="80"/>
          </w:tcBorders>
          <w:shd w:val="clear" w:color="auto" w:fill="auto"/>
          <w:vAlign w:val="center"/>
        </w:tcPr>
        <w:p w14:paraId="55816864" w14:textId="77777777" w:rsidR="00D450AA" w:rsidRPr="00D450AA" w:rsidRDefault="00D450AA" w:rsidP="00D450AA">
          <w:pPr>
            <w:suppressAutoHyphens/>
            <w:spacing w:after="0"/>
            <w:jc w:val="left"/>
            <w:rPr>
              <w:b/>
              <w:color w:val="999999"/>
              <w:sz w:val="16"/>
              <w:szCs w:val="16"/>
            </w:rPr>
          </w:pPr>
          <w:r w:rsidRPr="00D450AA">
            <w:rPr>
              <w:b/>
              <w:color w:val="999999"/>
              <w:sz w:val="16"/>
              <w:szCs w:val="16"/>
            </w:rPr>
            <w:t xml:space="preserve">Zpráva k návrhu zákona o státním rozpočtu </w:t>
          </w:r>
        </w:p>
        <w:p w14:paraId="38539309" w14:textId="608EB64B" w:rsidR="00AF1331" w:rsidRPr="0017797C" w:rsidRDefault="00D450AA" w:rsidP="00D450AA">
          <w:pPr>
            <w:suppressAutoHyphens/>
            <w:spacing w:after="0"/>
            <w:jc w:val="left"/>
            <w:rPr>
              <w:b/>
              <w:noProof/>
              <w:color w:val="999999"/>
              <w:sz w:val="16"/>
              <w:szCs w:val="16"/>
            </w:rPr>
          </w:pPr>
          <w:r w:rsidRPr="00D450AA">
            <w:rPr>
              <w:b/>
              <w:color w:val="999999"/>
              <w:sz w:val="16"/>
              <w:szCs w:val="16"/>
            </w:rPr>
            <w:t>České republiky na rok 2027</w:t>
          </w:r>
        </w:p>
      </w:tc>
    </w:tr>
  </w:tbl>
  <w:p w14:paraId="24E8563C" w14:textId="77777777" w:rsidR="00AF1331" w:rsidRPr="00A12A05" w:rsidRDefault="00AF1331" w:rsidP="008B6706">
    <w:pPr>
      <w:pStyle w:val="Zpat"/>
      <w:jc w:val="cen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Spec="right" w:tblpY="1"/>
      <w:tblOverlap w:val="never"/>
      <w:tblW w:w="0" w:type="auto"/>
      <w:tblLook w:val="01E0" w:firstRow="1" w:lastRow="1" w:firstColumn="1" w:lastColumn="1" w:noHBand="0" w:noVBand="0"/>
    </w:tblPr>
    <w:tblGrid>
      <w:gridCol w:w="3120"/>
      <w:gridCol w:w="551"/>
    </w:tblGrid>
    <w:tr w:rsidR="001B3775" w:rsidRPr="00175F17" w14:paraId="2419C236" w14:textId="77777777" w:rsidTr="00D450AA">
      <w:trPr>
        <w:cantSplit/>
      </w:trPr>
      <w:tc>
        <w:tcPr>
          <w:tcW w:w="3120" w:type="dxa"/>
          <w:tcBorders>
            <w:right w:val="single" w:sz="12" w:space="0" w:color="AEAAAA" w:themeColor="background2" w:themeShade="BF"/>
          </w:tcBorders>
          <w:shd w:val="clear" w:color="auto" w:fill="auto"/>
          <w:vAlign w:val="center"/>
        </w:tcPr>
        <w:p w14:paraId="1B8FA3C3" w14:textId="77777777" w:rsidR="00D450AA" w:rsidRPr="00D450AA" w:rsidRDefault="00D450AA" w:rsidP="00D450AA">
          <w:pPr>
            <w:suppressAutoHyphens/>
            <w:spacing w:after="0"/>
            <w:jc w:val="right"/>
            <w:rPr>
              <w:b/>
              <w:color w:val="999999"/>
              <w:sz w:val="16"/>
              <w:szCs w:val="16"/>
            </w:rPr>
          </w:pPr>
          <w:r w:rsidRPr="00D450AA">
            <w:rPr>
              <w:b/>
              <w:color w:val="999999"/>
              <w:sz w:val="16"/>
              <w:szCs w:val="16"/>
            </w:rPr>
            <w:t xml:space="preserve">Zpráva k návrhu zákona o státním rozpočtu </w:t>
          </w:r>
        </w:p>
        <w:p w14:paraId="7456CEE6" w14:textId="708A2663" w:rsidR="001B3775" w:rsidRPr="0017797C" w:rsidRDefault="00D450AA" w:rsidP="00D450AA">
          <w:pPr>
            <w:suppressAutoHyphens/>
            <w:spacing w:after="0"/>
            <w:jc w:val="right"/>
            <w:rPr>
              <w:b/>
              <w:noProof/>
              <w:color w:val="999999"/>
              <w:sz w:val="16"/>
              <w:szCs w:val="16"/>
            </w:rPr>
          </w:pPr>
          <w:r w:rsidRPr="00D450AA">
            <w:rPr>
              <w:b/>
              <w:color w:val="999999"/>
              <w:sz w:val="16"/>
              <w:szCs w:val="16"/>
            </w:rPr>
            <w:t>České republiky na rok 2027</w:t>
          </w:r>
        </w:p>
      </w:tc>
      <w:tc>
        <w:tcPr>
          <w:tcW w:w="551" w:type="dxa"/>
          <w:tcBorders>
            <w:left w:val="single" w:sz="12" w:space="0" w:color="AEAAAA" w:themeColor="background2" w:themeShade="BF"/>
          </w:tcBorders>
          <w:vAlign w:val="center"/>
        </w:tcPr>
        <w:p w14:paraId="414C3854" w14:textId="77777777" w:rsidR="001B3775" w:rsidRPr="006E3BB6" w:rsidRDefault="001B3775" w:rsidP="00E6316C">
          <w:pPr>
            <w:spacing w:after="0"/>
            <w:jc w:val="righ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20</w:t>
          </w:r>
          <w:r w:rsidRPr="00175F17">
            <w:rPr>
              <w:rStyle w:val="slostrnky"/>
              <w:sz w:val="32"/>
              <w:szCs w:val="32"/>
            </w:rPr>
            <w:fldChar w:fldCharType="end"/>
          </w:r>
        </w:p>
      </w:tc>
    </w:tr>
  </w:tbl>
  <w:p w14:paraId="0B3C6757" w14:textId="77777777" w:rsidR="001B3775" w:rsidRPr="00A12A05" w:rsidRDefault="001B3775" w:rsidP="00A12A05">
    <w:pPr>
      <w:pStyle w:val="Zp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page" w:tblpX="7939" w:tblpY="1"/>
      <w:tblOverlap w:val="never"/>
      <w:tblW w:w="3051"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4737"/>
      <w:gridCol w:w="1140"/>
    </w:tblGrid>
    <w:tr w:rsidR="00AF1331" w:rsidRPr="00175F17" w14:paraId="20C4C6CC" w14:textId="77777777" w:rsidTr="00647B10">
      <w:trPr>
        <w:cantSplit/>
        <w:trHeight w:val="347"/>
      </w:trPr>
      <w:tc>
        <w:tcPr>
          <w:tcW w:w="4030" w:type="pct"/>
          <w:tcBorders>
            <w:right w:val="single" w:sz="18" w:space="0" w:color="808080" w:themeColor="background1" w:themeShade="80"/>
          </w:tcBorders>
          <w:shd w:val="clear" w:color="auto" w:fill="auto"/>
          <w:vAlign w:val="center"/>
        </w:tcPr>
        <w:p w14:paraId="16D98463" w14:textId="77777777" w:rsidR="008F51E2" w:rsidRDefault="00AF1331" w:rsidP="005D22D4">
          <w:pPr>
            <w:suppressAutoHyphens/>
            <w:spacing w:after="0"/>
            <w:jc w:val="right"/>
            <w:rPr>
              <w:b/>
              <w:color w:val="999999"/>
              <w:sz w:val="16"/>
              <w:szCs w:val="16"/>
            </w:rPr>
          </w:pPr>
          <w:r w:rsidRPr="00CE734A">
            <w:rPr>
              <w:b/>
              <w:color w:val="999999"/>
              <w:sz w:val="16"/>
              <w:szCs w:val="16"/>
            </w:rPr>
            <w:t>Zpráva k</w:t>
          </w:r>
          <w:r w:rsidR="00F20071">
            <w:rPr>
              <w:b/>
              <w:color w:val="999999"/>
              <w:sz w:val="16"/>
              <w:szCs w:val="16"/>
            </w:rPr>
            <w:t xml:space="preserve"> návrhu </w:t>
          </w:r>
          <w:r>
            <w:rPr>
              <w:b/>
              <w:color w:val="999999"/>
              <w:sz w:val="16"/>
              <w:szCs w:val="16"/>
            </w:rPr>
            <w:t>zákon</w:t>
          </w:r>
          <w:r w:rsidR="00F20071">
            <w:rPr>
              <w:b/>
              <w:color w:val="999999"/>
              <w:sz w:val="16"/>
              <w:szCs w:val="16"/>
            </w:rPr>
            <w:t>a</w:t>
          </w:r>
          <w:r w:rsidRPr="00CE734A">
            <w:rPr>
              <w:b/>
              <w:color w:val="999999"/>
              <w:sz w:val="16"/>
              <w:szCs w:val="16"/>
            </w:rPr>
            <w:t xml:space="preserve"> o státním rozpočtu</w:t>
          </w:r>
        </w:p>
        <w:p w14:paraId="57F40D69" w14:textId="626D516C" w:rsidR="00AF1331" w:rsidRPr="0017797C" w:rsidRDefault="00AF1331" w:rsidP="005D22D4">
          <w:pPr>
            <w:suppressAutoHyphens/>
            <w:spacing w:after="0"/>
            <w:jc w:val="right"/>
            <w:rPr>
              <w:b/>
              <w:noProof/>
              <w:color w:val="999999"/>
              <w:sz w:val="16"/>
              <w:szCs w:val="16"/>
            </w:rPr>
          </w:pPr>
          <w:r w:rsidRPr="00CE734A">
            <w:rPr>
              <w:b/>
              <w:color w:val="999999"/>
              <w:sz w:val="16"/>
              <w:szCs w:val="16"/>
            </w:rPr>
            <w:t xml:space="preserve"> České republiky na rok 202</w:t>
          </w:r>
          <w:r w:rsidR="008F51E2">
            <w:rPr>
              <w:b/>
              <w:color w:val="999999"/>
              <w:sz w:val="16"/>
              <w:szCs w:val="16"/>
            </w:rPr>
            <w:t>7</w:t>
          </w:r>
        </w:p>
      </w:tc>
      <w:tc>
        <w:tcPr>
          <w:tcW w:w="970" w:type="pct"/>
          <w:tcBorders>
            <w:top w:val="single" w:sz="2" w:space="0" w:color="FFFFFF"/>
            <w:left w:val="single" w:sz="18" w:space="0" w:color="808080" w:themeColor="background1" w:themeShade="80"/>
            <w:bottom w:val="single" w:sz="2" w:space="0" w:color="FFFFFF"/>
          </w:tcBorders>
          <w:shd w:val="clear" w:color="auto" w:fill="auto"/>
          <w:vAlign w:val="center"/>
        </w:tcPr>
        <w:p w14:paraId="48B34758" w14:textId="0C7C32DF" w:rsidR="00AF1331" w:rsidRPr="00647B10" w:rsidRDefault="00AF1331" w:rsidP="00CE734A">
          <w:pPr>
            <w:spacing w:after="0"/>
            <w:rPr>
              <w:rStyle w:val="slostrnky"/>
              <w:noProof/>
              <w:sz w:val="32"/>
              <w:szCs w:val="32"/>
            </w:rPr>
          </w:pPr>
          <w:r w:rsidRPr="00175F17">
            <w:rPr>
              <w:rStyle w:val="slostrnky"/>
              <w:noProof/>
              <w:sz w:val="32"/>
              <w:szCs w:val="32"/>
            </w:rPr>
            <w:fldChar w:fldCharType="begin"/>
          </w:r>
          <w:r w:rsidRPr="00175F17">
            <w:rPr>
              <w:rStyle w:val="slostrnky"/>
              <w:noProof/>
              <w:sz w:val="32"/>
              <w:szCs w:val="32"/>
            </w:rPr>
            <w:instrText xml:space="preserve"> PAGE </w:instrText>
          </w:r>
          <w:r w:rsidRPr="00175F17">
            <w:rPr>
              <w:rStyle w:val="slostrnky"/>
              <w:noProof/>
              <w:sz w:val="32"/>
              <w:szCs w:val="32"/>
            </w:rPr>
            <w:fldChar w:fldCharType="separate"/>
          </w:r>
          <w:r w:rsidR="00231FA3">
            <w:rPr>
              <w:rStyle w:val="slostrnky"/>
              <w:noProof/>
              <w:sz w:val="32"/>
              <w:szCs w:val="32"/>
            </w:rPr>
            <w:t>31</w:t>
          </w:r>
          <w:r w:rsidRPr="00175F17">
            <w:rPr>
              <w:rStyle w:val="slostrnky"/>
              <w:noProof/>
              <w:sz w:val="32"/>
              <w:szCs w:val="32"/>
            </w:rPr>
            <w:fldChar w:fldCharType="end"/>
          </w:r>
        </w:p>
      </w:tc>
    </w:tr>
  </w:tbl>
  <w:p w14:paraId="380B530E" w14:textId="77777777" w:rsidR="00AF1331" w:rsidRPr="00A12A05" w:rsidRDefault="00AF1331" w:rsidP="00CE734A">
    <w:pPr>
      <w:pStyle w:val="Zp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142" w:tblpY="1"/>
      <w:tblOverlap w:val="never"/>
      <w:tblW w:w="1912" w:type="pct"/>
      <w:tblLook w:val="01E0" w:firstRow="1" w:lastRow="1" w:firstColumn="1" w:lastColumn="1" w:noHBand="0" w:noVBand="0"/>
    </w:tblPr>
    <w:tblGrid>
      <w:gridCol w:w="567"/>
      <w:gridCol w:w="3119"/>
    </w:tblGrid>
    <w:tr w:rsidR="00AF1331" w:rsidRPr="00175F17" w14:paraId="10DC1D24" w14:textId="77777777" w:rsidTr="008F51E2">
      <w:trPr>
        <w:cantSplit/>
      </w:trPr>
      <w:tc>
        <w:tcPr>
          <w:tcW w:w="769" w:type="pct"/>
          <w:tcBorders>
            <w:right w:val="single" w:sz="18" w:space="0" w:color="808080" w:themeColor="background1" w:themeShade="80"/>
          </w:tcBorders>
          <w:vAlign w:val="center"/>
        </w:tcPr>
        <w:p w14:paraId="722585B9" w14:textId="2E7AB03E" w:rsidR="00AF1331" w:rsidRPr="006E3BB6" w:rsidRDefault="00AF1331" w:rsidP="00E6316C">
          <w:pPr>
            <w:spacing w:after="0"/>
            <w:jc w:val="lef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33</w:t>
          </w:r>
          <w:r w:rsidRPr="00175F17">
            <w:rPr>
              <w:rStyle w:val="slostrnky"/>
              <w:sz w:val="32"/>
              <w:szCs w:val="32"/>
            </w:rPr>
            <w:fldChar w:fldCharType="end"/>
          </w:r>
        </w:p>
      </w:tc>
      <w:tc>
        <w:tcPr>
          <w:tcW w:w="4231" w:type="pct"/>
          <w:tcBorders>
            <w:left w:val="single" w:sz="18" w:space="0" w:color="808080" w:themeColor="background1" w:themeShade="80"/>
          </w:tcBorders>
          <w:shd w:val="clear" w:color="auto" w:fill="auto"/>
          <w:vAlign w:val="center"/>
        </w:tcPr>
        <w:p w14:paraId="2CF5F243" w14:textId="77777777" w:rsidR="008F51E2" w:rsidRPr="008F51E2" w:rsidRDefault="008F51E2" w:rsidP="008F51E2">
          <w:pPr>
            <w:suppressAutoHyphens/>
            <w:spacing w:after="0"/>
            <w:jc w:val="left"/>
            <w:rPr>
              <w:b/>
              <w:color w:val="999999"/>
              <w:sz w:val="16"/>
              <w:szCs w:val="16"/>
            </w:rPr>
          </w:pPr>
          <w:r w:rsidRPr="008F51E2">
            <w:rPr>
              <w:b/>
              <w:color w:val="999999"/>
              <w:sz w:val="16"/>
              <w:szCs w:val="16"/>
            </w:rPr>
            <w:t xml:space="preserve">Zpráva k návrhu zákona o státním rozpočtu </w:t>
          </w:r>
        </w:p>
        <w:p w14:paraId="248802B2" w14:textId="725BC2F0" w:rsidR="00AF1331" w:rsidRPr="0017797C" w:rsidRDefault="008F51E2" w:rsidP="008F51E2">
          <w:pPr>
            <w:suppressAutoHyphens/>
            <w:spacing w:after="0"/>
            <w:jc w:val="left"/>
            <w:rPr>
              <w:b/>
              <w:noProof/>
              <w:color w:val="999999"/>
              <w:sz w:val="16"/>
              <w:szCs w:val="16"/>
            </w:rPr>
          </w:pPr>
          <w:r w:rsidRPr="008F51E2">
            <w:rPr>
              <w:b/>
              <w:color w:val="999999"/>
              <w:sz w:val="16"/>
              <w:szCs w:val="16"/>
            </w:rPr>
            <w:t>České republiky na rok 2027</w:t>
          </w:r>
        </w:p>
      </w:tc>
    </w:tr>
  </w:tbl>
  <w:p w14:paraId="6756A393" w14:textId="77777777" w:rsidR="00AF1331" w:rsidRPr="00A12A05" w:rsidRDefault="00AF1331" w:rsidP="00CE73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Y="1"/>
      <w:tblOverlap w:val="never"/>
      <w:tblW w:w="1986" w:type="pct"/>
      <w:tblLook w:val="01E0" w:firstRow="1" w:lastRow="1" w:firstColumn="1" w:lastColumn="1" w:noHBand="0" w:noVBand="0"/>
    </w:tblPr>
    <w:tblGrid>
      <w:gridCol w:w="689"/>
      <w:gridCol w:w="3139"/>
    </w:tblGrid>
    <w:tr w:rsidR="00AF1331" w:rsidRPr="00175F17" w14:paraId="3E7967DB" w14:textId="77777777" w:rsidTr="007725C2">
      <w:trPr>
        <w:cantSplit/>
      </w:trPr>
      <w:tc>
        <w:tcPr>
          <w:tcW w:w="900" w:type="pct"/>
          <w:tcBorders>
            <w:right w:val="single" w:sz="18" w:space="0" w:color="808080" w:themeColor="background1" w:themeShade="80"/>
          </w:tcBorders>
          <w:vAlign w:val="center"/>
        </w:tcPr>
        <w:p w14:paraId="0F0F5B53" w14:textId="23FDAF26" w:rsidR="00AF1331" w:rsidRPr="006E3BB6" w:rsidRDefault="00AF1331" w:rsidP="00E6316C">
          <w:pPr>
            <w:spacing w:after="0"/>
            <w:jc w:val="lef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5</w:t>
          </w:r>
          <w:r w:rsidRPr="00175F17">
            <w:rPr>
              <w:rStyle w:val="slostrnky"/>
              <w:sz w:val="32"/>
              <w:szCs w:val="32"/>
            </w:rPr>
            <w:fldChar w:fldCharType="end"/>
          </w:r>
        </w:p>
      </w:tc>
      <w:tc>
        <w:tcPr>
          <w:tcW w:w="4100" w:type="pct"/>
          <w:tcBorders>
            <w:left w:val="single" w:sz="18" w:space="0" w:color="808080" w:themeColor="background1" w:themeShade="80"/>
          </w:tcBorders>
          <w:shd w:val="clear" w:color="auto" w:fill="auto"/>
          <w:vAlign w:val="center"/>
        </w:tcPr>
        <w:p w14:paraId="2BD517EB" w14:textId="77777777" w:rsidR="007725C2" w:rsidRPr="007725C2" w:rsidRDefault="007725C2" w:rsidP="007725C2">
          <w:pPr>
            <w:suppressAutoHyphens/>
            <w:spacing w:after="0"/>
            <w:jc w:val="left"/>
            <w:rPr>
              <w:b/>
              <w:color w:val="999999"/>
              <w:sz w:val="16"/>
              <w:szCs w:val="16"/>
            </w:rPr>
          </w:pPr>
          <w:r w:rsidRPr="007725C2">
            <w:rPr>
              <w:b/>
              <w:color w:val="999999"/>
              <w:sz w:val="16"/>
              <w:szCs w:val="16"/>
            </w:rPr>
            <w:t xml:space="preserve">Zpráva k návrhu zákona o státním rozpočtu </w:t>
          </w:r>
        </w:p>
        <w:p w14:paraId="5B2F3E64" w14:textId="2903507D" w:rsidR="00AF1331" w:rsidRPr="0017797C" w:rsidRDefault="007725C2" w:rsidP="007725C2">
          <w:pPr>
            <w:suppressAutoHyphens/>
            <w:spacing w:after="0"/>
            <w:jc w:val="left"/>
            <w:rPr>
              <w:b/>
              <w:noProof/>
              <w:color w:val="999999"/>
              <w:sz w:val="16"/>
              <w:szCs w:val="16"/>
            </w:rPr>
          </w:pPr>
          <w:r w:rsidRPr="007725C2">
            <w:rPr>
              <w:b/>
              <w:color w:val="999999"/>
              <w:sz w:val="16"/>
              <w:szCs w:val="16"/>
            </w:rPr>
            <w:t>České republiky na rok 2027</w:t>
          </w:r>
        </w:p>
      </w:tc>
    </w:tr>
  </w:tbl>
  <w:p w14:paraId="52921B1E" w14:textId="77777777" w:rsidR="00AF1331" w:rsidRPr="00321C30" w:rsidRDefault="00AF1331" w:rsidP="00321C3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Spec="right" w:tblpY="1"/>
      <w:tblOverlap w:val="never"/>
      <w:tblW w:w="2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7"/>
      <w:gridCol w:w="642"/>
    </w:tblGrid>
    <w:tr w:rsidR="00AF1331" w:rsidRPr="00175F17" w14:paraId="3961B193" w14:textId="77777777" w:rsidTr="005056B3">
      <w:trPr>
        <w:cantSplit/>
      </w:trPr>
      <w:tc>
        <w:tcPr>
          <w:tcW w:w="4191" w:type="pct"/>
          <w:tcBorders>
            <w:top w:val="nil"/>
            <w:left w:val="nil"/>
            <w:bottom w:val="nil"/>
            <w:right w:val="single" w:sz="18" w:space="0" w:color="808080" w:themeColor="background1" w:themeShade="80"/>
          </w:tcBorders>
          <w:shd w:val="clear" w:color="auto" w:fill="auto"/>
          <w:vAlign w:val="center"/>
        </w:tcPr>
        <w:p w14:paraId="236361F1" w14:textId="65D0A826" w:rsidR="00AF1331" w:rsidRDefault="00AF1331" w:rsidP="005056B3">
          <w:pPr>
            <w:suppressAutoHyphens/>
            <w:spacing w:after="0"/>
            <w:jc w:val="right"/>
            <w:rPr>
              <w:b/>
              <w:color w:val="999999"/>
              <w:sz w:val="16"/>
              <w:szCs w:val="16"/>
            </w:rPr>
          </w:pPr>
          <w:r w:rsidRPr="00CE734A">
            <w:rPr>
              <w:b/>
              <w:color w:val="999999"/>
              <w:sz w:val="16"/>
              <w:szCs w:val="16"/>
            </w:rPr>
            <w:t>Zpráva k</w:t>
          </w:r>
          <w:r w:rsidR="007725C2">
            <w:rPr>
              <w:b/>
              <w:color w:val="999999"/>
              <w:sz w:val="16"/>
              <w:szCs w:val="16"/>
            </w:rPr>
            <w:t xml:space="preserve"> návrhu </w:t>
          </w:r>
          <w:r>
            <w:rPr>
              <w:b/>
              <w:color w:val="999999"/>
              <w:sz w:val="16"/>
              <w:szCs w:val="16"/>
            </w:rPr>
            <w:t>zákon</w:t>
          </w:r>
          <w:r w:rsidR="007725C2">
            <w:rPr>
              <w:b/>
              <w:color w:val="999999"/>
              <w:sz w:val="16"/>
              <w:szCs w:val="16"/>
            </w:rPr>
            <w:t>a</w:t>
          </w:r>
          <w:r>
            <w:rPr>
              <w:b/>
              <w:color w:val="999999"/>
              <w:sz w:val="16"/>
              <w:szCs w:val="16"/>
            </w:rPr>
            <w:t xml:space="preserve"> </w:t>
          </w:r>
          <w:r w:rsidRPr="00CE734A">
            <w:rPr>
              <w:b/>
              <w:color w:val="999999"/>
              <w:sz w:val="16"/>
              <w:szCs w:val="16"/>
            </w:rPr>
            <w:t>o státním rozp</w:t>
          </w:r>
          <w:r>
            <w:rPr>
              <w:b/>
              <w:color w:val="999999"/>
              <w:sz w:val="16"/>
              <w:szCs w:val="16"/>
            </w:rPr>
            <w:t xml:space="preserve">očtu </w:t>
          </w:r>
        </w:p>
        <w:p w14:paraId="36B122EC" w14:textId="07BEA2D7" w:rsidR="00AF1331" w:rsidRPr="0017797C" w:rsidRDefault="00AF1331" w:rsidP="005056B3">
          <w:pPr>
            <w:suppressAutoHyphens/>
            <w:spacing w:after="0"/>
            <w:jc w:val="right"/>
            <w:rPr>
              <w:b/>
              <w:noProof/>
              <w:color w:val="999999"/>
              <w:sz w:val="16"/>
              <w:szCs w:val="16"/>
            </w:rPr>
          </w:pPr>
          <w:r>
            <w:rPr>
              <w:b/>
              <w:color w:val="999999"/>
              <w:sz w:val="16"/>
              <w:szCs w:val="16"/>
            </w:rPr>
            <w:t>České republiky na rok 202</w:t>
          </w:r>
          <w:r w:rsidR="007725C2">
            <w:rPr>
              <w:b/>
              <w:color w:val="999999"/>
              <w:sz w:val="16"/>
              <w:szCs w:val="16"/>
            </w:rPr>
            <w:t>7</w:t>
          </w:r>
        </w:p>
      </w:tc>
      <w:tc>
        <w:tcPr>
          <w:tcW w:w="809" w:type="pct"/>
          <w:tcBorders>
            <w:top w:val="nil"/>
            <w:left w:val="single" w:sz="18" w:space="0" w:color="808080" w:themeColor="background1" w:themeShade="80"/>
            <w:bottom w:val="nil"/>
            <w:right w:val="nil"/>
          </w:tcBorders>
          <w:vAlign w:val="center"/>
        </w:tcPr>
        <w:p w14:paraId="44959429" w14:textId="365E771A" w:rsidR="00AF1331" w:rsidRPr="006E3BB6" w:rsidRDefault="00AF1331" w:rsidP="00E6316C">
          <w:pPr>
            <w:spacing w:after="0"/>
            <w:jc w:val="righ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4</w:t>
          </w:r>
          <w:r w:rsidRPr="00175F17">
            <w:rPr>
              <w:rStyle w:val="slostrnky"/>
              <w:sz w:val="32"/>
              <w:szCs w:val="32"/>
            </w:rPr>
            <w:fldChar w:fldCharType="end"/>
          </w:r>
        </w:p>
      </w:tc>
    </w:tr>
  </w:tbl>
  <w:p w14:paraId="73E63595" w14:textId="77777777" w:rsidR="00AF1331" w:rsidRDefault="00AF1331" w:rsidP="002B367F">
    <w:pPr>
      <w:pStyle w:val="Zpat"/>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92AD7" w14:textId="77777777" w:rsidR="00AF1331" w:rsidRDefault="00AF1331">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Spec="right" w:tblpY="1"/>
      <w:tblOverlap w:val="never"/>
      <w:tblW w:w="0" w:type="auto"/>
      <w:tblLook w:val="01E0" w:firstRow="1" w:lastRow="1" w:firstColumn="1" w:lastColumn="1" w:noHBand="0" w:noVBand="0"/>
    </w:tblPr>
    <w:tblGrid>
      <w:gridCol w:w="3262"/>
      <w:gridCol w:w="551"/>
    </w:tblGrid>
    <w:tr w:rsidR="00AF1331" w:rsidRPr="00175F17" w14:paraId="6FAD4F76" w14:textId="77777777" w:rsidTr="007725C2">
      <w:trPr>
        <w:cantSplit/>
      </w:trPr>
      <w:tc>
        <w:tcPr>
          <w:tcW w:w="3262" w:type="dxa"/>
          <w:tcBorders>
            <w:right w:val="single" w:sz="12" w:space="0" w:color="AEAAAA" w:themeColor="background2" w:themeShade="BF"/>
          </w:tcBorders>
          <w:shd w:val="clear" w:color="auto" w:fill="auto"/>
          <w:vAlign w:val="center"/>
        </w:tcPr>
        <w:p w14:paraId="57DA5E51" w14:textId="77777777" w:rsidR="007725C2" w:rsidRDefault="007725C2" w:rsidP="007725C2">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 xml:space="preserve">očtu </w:t>
          </w:r>
        </w:p>
        <w:p w14:paraId="3C1EAC3F" w14:textId="6F6138EB" w:rsidR="00AF1331" w:rsidRPr="0017797C" w:rsidRDefault="007725C2" w:rsidP="007725C2">
          <w:pPr>
            <w:suppressAutoHyphens/>
            <w:spacing w:after="0"/>
            <w:jc w:val="right"/>
            <w:rPr>
              <w:b/>
              <w:noProof/>
              <w:color w:val="999999"/>
              <w:sz w:val="16"/>
              <w:szCs w:val="16"/>
            </w:rPr>
          </w:pPr>
          <w:r>
            <w:rPr>
              <w:b/>
              <w:color w:val="999999"/>
              <w:sz w:val="16"/>
              <w:szCs w:val="16"/>
            </w:rPr>
            <w:t>České republiky na rok 2027</w:t>
          </w:r>
        </w:p>
      </w:tc>
      <w:tc>
        <w:tcPr>
          <w:tcW w:w="551" w:type="dxa"/>
          <w:tcBorders>
            <w:left w:val="single" w:sz="12" w:space="0" w:color="AEAAAA" w:themeColor="background2" w:themeShade="BF"/>
          </w:tcBorders>
          <w:vAlign w:val="center"/>
        </w:tcPr>
        <w:p w14:paraId="7FC2CFDD" w14:textId="3BD1B7D6" w:rsidR="00AF1331" w:rsidRPr="006E3BB6" w:rsidRDefault="00AF1331" w:rsidP="00E6316C">
          <w:pPr>
            <w:spacing w:after="0"/>
            <w:jc w:val="righ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20</w:t>
          </w:r>
          <w:r w:rsidRPr="00175F17">
            <w:rPr>
              <w:rStyle w:val="slostrnky"/>
              <w:sz w:val="32"/>
              <w:szCs w:val="32"/>
            </w:rPr>
            <w:fldChar w:fldCharType="end"/>
          </w:r>
        </w:p>
      </w:tc>
    </w:tr>
  </w:tbl>
  <w:p w14:paraId="66CE5D92" w14:textId="77777777" w:rsidR="00AF1331" w:rsidRPr="00A12A05" w:rsidRDefault="00AF1331" w:rsidP="00A12A05">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Y="1"/>
      <w:tblOverlap w:val="never"/>
      <w:tblW w:w="2133" w:type="pct"/>
      <w:tblLook w:val="01E0" w:firstRow="1" w:lastRow="1" w:firstColumn="1" w:lastColumn="1" w:noHBand="0" w:noVBand="0"/>
    </w:tblPr>
    <w:tblGrid>
      <w:gridCol w:w="689"/>
      <w:gridCol w:w="3423"/>
    </w:tblGrid>
    <w:tr w:rsidR="00AF1331" w:rsidRPr="00175F17" w14:paraId="09217376" w14:textId="77777777" w:rsidTr="007725C2">
      <w:trPr>
        <w:cantSplit/>
      </w:trPr>
      <w:tc>
        <w:tcPr>
          <w:tcW w:w="838" w:type="pct"/>
          <w:tcBorders>
            <w:right w:val="single" w:sz="18" w:space="0" w:color="808080" w:themeColor="background1" w:themeShade="80"/>
          </w:tcBorders>
          <w:vAlign w:val="center"/>
        </w:tcPr>
        <w:p w14:paraId="1936E571" w14:textId="7D4055E5" w:rsidR="00AF1331" w:rsidRPr="006E3BB6" w:rsidRDefault="00AF1331" w:rsidP="00E6316C">
          <w:pPr>
            <w:spacing w:after="0"/>
            <w:jc w:val="lef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7</w:t>
          </w:r>
          <w:r w:rsidRPr="00175F17">
            <w:rPr>
              <w:rStyle w:val="slostrnky"/>
              <w:sz w:val="32"/>
              <w:szCs w:val="32"/>
            </w:rPr>
            <w:fldChar w:fldCharType="end"/>
          </w:r>
        </w:p>
      </w:tc>
      <w:tc>
        <w:tcPr>
          <w:tcW w:w="4162" w:type="pct"/>
          <w:tcBorders>
            <w:left w:val="single" w:sz="18" w:space="0" w:color="808080" w:themeColor="background1" w:themeShade="80"/>
          </w:tcBorders>
          <w:shd w:val="clear" w:color="auto" w:fill="auto"/>
          <w:vAlign w:val="center"/>
        </w:tcPr>
        <w:p w14:paraId="40E41B66" w14:textId="77777777" w:rsidR="007725C2" w:rsidRPr="007725C2" w:rsidRDefault="007725C2" w:rsidP="007725C2">
          <w:pPr>
            <w:suppressAutoHyphens/>
            <w:spacing w:after="0"/>
            <w:jc w:val="left"/>
            <w:rPr>
              <w:b/>
              <w:color w:val="999999"/>
              <w:sz w:val="16"/>
              <w:szCs w:val="16"/>
            </w:rPr>
          </w:pPr>
          <w:r w:rsidRPr="007725C2">
            <w:rPr>
              <w:b/>
              <w:color w:val="999999"/>
              <w:sz w:val="16"/>
              <w:szCs w:val="16"/>
            </w:rPr>
            <w:t xml:space="preserve">Zpráva k návrhu zákona o státním rozpočtu </w:t>
          </w:r>
        </w:p>
        <w:p w14:paraId="6A0CD3AD" w14:textId="09FC024E" w:rsidR="00AF1331" w:rsidRPr="0017797C" w:rsidRDefault="007725C2" w:rsidP="007725C2">
          <w:pPr>
            <w:suppressAutoHyphens/>
            <w:spacing w:after="0"/>
            <w:jc w:val="left"/>
            <w:rPr>
              <w:b/>
              <w:noProof/>
              <w:color w:val="999999"/>
              <w:sz w:val="16"/>
              <w:szCs w:val="16"/>
            </w:rPr>
          </w:pPr>
          <w:r w:rsidRPr="007725C2">
            <w:rPr>
              <w:b/>
              <w:color w:val="999999"/>
              <w:sz w:val="16"/>
              <w:szCs w:val="16"/>
            </w:rPr>
            <w:t>České republiky na rok 2027</w:t>
          </w:r>
        </w:p>
      </w:tc>
    </w:tr>
  </w:tbl>
  <w:p w14:paraId="635720A6" w14:textId="77777777" w:rsidR="00AF1331" w:rsidRPr="00A12A05" w:rsidRDefault="00AF1331" w:rsidP="00A12A05">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Spec="right" w:tblpY="1"/>
      <w:tblOverlap w:val="never"/>
      <w:tblW w:w="0" w:type="auto"/>
      <w:tblLook w:val="01E0" w:firstRow="1" w:lastRow="1" w:firstColumn="1" w:lastColumn="1" w:noHBand="0" w:noVBand="0"/>
    </w:tblPr>
    <w:tblGrid>
      <w:gridCol w:w="5103"/>
      <w:gridCol w:w="551"/>
    </w:tblGrid>
    <w:tr w:rsidR="0017539F" w:rsidRPr="00175F17" w14:paraId="4DBA7C45" w14:textId="77777777" w:rsidTr="007725C2">
      <w:trPr>
        <w:cantSplit/>
      </w:trPr>
      <w:tc>
        <w:tcPr>
          <w:tcW w:w="5103" w:type="dxa"/>
          <w:tcBorders>
            <w:right w:val="single" w:sz="12" w:space="0" w:color="AEAAAA" w:themeColor="background2" w:themeShade="BF"/>
          </w:tcBorders>
          <w:shd w:val="clear" w:color="auto" w:fill="auto"/>
          <w:vAlign w:val="center"/>
        </w:tcPr>
        <w:p w14:paraId="4781BF01" w14:textId="77777777" w:rsidR="00D450AA" w:rsidRDefault="0017539F" w:rsidP="005E3027">
          <w:pPr>
            <w:suppressAutoHyphens/>
            <w:spacing w:after="0"/>
            <w:jc w:val="right"/>
            <w:rPr>
              <w:b/>
              <w:color w:val="999999"/>
              <w:sz w:val="16"/>
              <w:szCs w:val="16"/>
            </w:rPr>
          </w:pPr>
          <w:r w:rsidRPr="00CE734A">
            <w:rPr>
              <w:b/>
              <w:color w:val="999999"/>
              <w:sz w:val="16"/>
              <w:szCs w:val="16"/>
            </w:rPr>
            <w:t>Zpráva k</w:t>
          </w:r>
          <w:r w:rsidR="007725C2">
            <w:rPr>
              <w:b/>
              <w:color w:val="999999"/>
              <w:sz w:val="16"/>
              <w:szCs w:val="16"/>
            </w:rPr>
            <w:t xml:space="preserve"> návrhu </w:t>
          </w:r>
          <w:r>
            <w:rPr>
              <w:b/>
              <w:color w:val="999999"/>
              <w:sz w:val="16"/>
              <w:szCs w:val="16"/>
            </w:rPr>
            <w:t>zákon</w:t>
          </w:r>
          <w:r w:rsidR="007725C2">
            <w:rPr>
              <w:b/>
              <w:color w:val="999999"/>
              <w:sz w:val="16"/>
              <w:szCs w:val="16"/>
            </w:rPr>
            <w:t>a</w:t>
          </w:r>
          <w:r>
            <w:rPr>
              <w:b/>
              <w:color w:val="999999"/>
              <w:sz w:val="16"/>
              <w:szCs w:val="16"/>
            </w:rPr>
            <w:t xml:space="preserve"> </w:t>
          </w:r>
          <w:r w:rsidRPr="00CE734A">
            <w:rPr>
              <w:b/>
              <w:color w:val="999999"/>
              <w:sz w:val="16"/>
              <w:szCs w:val="16"/>
            </w:rPr>
            <w:t>o státním rozp</w:t>
          </w:r>
          <w:r>
            <w:rPr>
              <w:b/>
              <w:color w:val="999999"/>
              <w:sz w:val="16"/>
              <w:szCs w:val="16"/>
            </w:rPr>
            <w:t xml:space="preserve">očtu </w:t>
          </w:r>
        </w:p>
        <w:p w14:paraId="138380E2" w14:textId="01F5A32E" w:rsidR="0017539F" w:rsidRPr="0017797C" w:rsidRDefault="0017539F" w:rsidP="005E3027">
          <w:pPr>
            <w:suppressAutoHyphens/>
            <w:spacing w:after="0"/>
            <w:jc w:val="right"/>
            <w:rPr>
              <w:b/>
              <w:noProof/>
              <w:color w:val="999999"/>
              <w:sz w:val="16"/>
              <w:szCs w:val="16"/>
            </w:rPr>
          </w:pPr>
          <w:r>
            <w:rPr>
              <w:b/>
              <w:color w:val="999999"/>
              <w:sz w:val="16"/>
              <w:szCs w:val="16"/>
            </w:rPr>
            <w:t>České republiky na rok 202</w:t>
          </w:r>
          <w:r w:rsidR="007725C2">
            <w:rPr>
              <w:b/>
              <w:color w:val="999999"/>
              <w:sz w:val="16"/>
              <w:szCs w:val="16"/>
            </w:rPr>
            <w:t>7</w:t>
          </w:r>
        </w:p>
      </w:tc>
      <w:tc>
        <w:tcPr>
          <w:tcW w:w="551" w:type="dxa"/>
          <w:tcBorders>
            <w:left w:val="single" w:sz="12" w:space="0" w:color="AEAAAA" w:themeColor="background2" w:themeShade="BF"/>
          </w:tcBorders>
          <w:vAlign w:val="center"/>
        </w:tcPr>
        <w:p w14:paraId="36F41AF2" w14:textId="77777777" w:rsidR="0017539F" w:rsidRPr="006E3BB6" w:rsidRDefault="0017539F" w:rsidP="00E6316C">
          <w:pPr>
            <w:spacing w:after="0"/>
            <w:jc w:val="right"/>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20</w:t>
          </w:r>
          <w:r w:rsidRPr="00175F17">
            <w:rPr>
              <w:rStyle w:val="slostrnky"/>
              <w:sz w:val="32"/>
              <w:szCs w:val="32"/>
            </w:rPr>
            <w:fldChar w:fldCharType="end"/>
          </w:r>
        </w:p>
      </w:tc>
    </w:tr>
  </w:tbl>
  <w:p w14:paraId="063E526A" w14:textId="77777777" w:rsidR="0017539F" w:rsidRPr="00A12A05" w:rsidRDefault="0017539F" w:rsidP="00A12A05">
    <w:pPr>
      <w:pStyle w:val="Zp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page" w:tblpX="10140" w:tblpY="1"/>
      <w:tblOverlap w:val="never"/>
      <w:tblW w:w="2084"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5008"/>
      <w:gridCol w:w="1062"/>
    </w:tblGrid>
    <w:tr w:rsidR="00AF1331" w:rsidRPr="00175F17" w14:paraId="623DE0BC" w14:textId="77777777" w:rsidTr="00E47353">
      <w:trPr>
        <w:cantSplit/>
      </w:trPr>
      <w:tc>
        <w:tcPr>
          <w:tcW w:w="4125" w:type="pct"/>
          <w:shd w:val="clear" w:color="auto" w:fill="auto"/>
          <w:vAlign w:val="center"/>
        </w:tcPr>
        <w:p w14:paraId="4789FFA7" w14:textId="386D1856" w:rsidR="00AF1331" w:rsidRPr="0017797C" w:rsidRDefault="00AF1331" w:rsidP="00F121C4">
          <w:pPr>
            <w:suppressAutoHyphens/>
            <w:spacing w:after="0"/>
            <w:jc w:val="right"/>
            <w:rPr>
              <w:b/>
              <w:color w:val="999999"/>
              <w:sz w:val="16"/>
              <w:szCs w:val="16"/>
            </w:rPr>
          </w:pPr>
          <w:r w:rsidRPr="00CE734A">
            <w:rPr>
              <w:b/>
              <w:color w:val="999999"/>
              <w:sz w:val="16"/>
              <w:szCs w:val="16"/>
            </w:rPr>
            <w:t>Zpráva k</w:t>
          </w:r>
          <w:r w:rsidR="00F20071">
            <w:rPr>
              <w:b/>
              <w:color w:val="999999"/>
              <w:sz w:val="16"/>
              <w:szCs w:val="16"/>
            </w:rPr>
            <w:t xml:space="preserve"> návrhu</w:t>
          </w:r>
          <w:r w:rsidRPr="00CE734A">
            <w:rPr>
              <w:b/>
              <w:color w:val="999999"/>
              <w:sz w:val="16"/>
              <w:szCs w:val="16"/>
            </w:rPr>
            <w:t> </w:t>
          </w:r>
          <w:r>
            <w:rPr>
              <w:b/>
              <w:color w:val="999999"/>
              <w:sz w:val="16"/>
              <w:szCs w:val="16"/>
            </w:rPr>
            <w:t>zákon</w:t>
          </w:r>
          <w:r w:rsidR="00F20071">
            <w:rPr>
              <w:b/>
              <w:color w:val="999999"/>
              <w:sz w:val="16"/>
              <w:szCs w:val="16"/>
            </w:rPr>
            <w:t>a</w:t>
          </w:r>
          <w:r w:rsidRPr="00CE734A">
            <w:rPr>
              <w:b/>
              <w:color w:val="999999"/>
              <w:sz w:val="16"/>
              <w:szCs w:val="16"/>
            </w:rPr>
            <w:t xml:space="preserve"> o státním rozp</w:t>
          </w:r>
          <w:r>
            <w:rPr>
              <w:b/>
              <w:color w:val="999999"/>
              <w:sz w:val="16"/>
              <w:szCs w:val="16"/>
            </w:rPr>
            <w:t>očtu České republiky na rok 202</w:t>
          </w:r>
          <w:r w:rsidR="00F20071">
            <w:rPr>
              <w:b/>
              <w:color w:val="999999"/>
              <w:sz w:val="16"/>
              <w:szCs w:val="16"/>
            </w:rPr>
            <w:t>6</w:t>
          </w:r>
        </w:p>
      </w:tc>
      <w:tc>
        <w:tcPr>
          <w:tcW w:w="875" w:type="pct"/>
          <w:shd w:val="clear" w:color="auto" w:fill="auto"/>
          <w:vAlign w:val="center"/>
        </w:tcPr>
        <w:p w14:paraId="142172CD" w14:textId="4F3AD0C3" w:rsidR="00AF1331" w:rsidRPr="006E3BB6" w:rsidRDefault="00AF1331" w:rsidP="00E47353">
          <w:pPr>
            <w:spacing w:after="0"/>
            <w:ind w:right="-37"/>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9</w:t>
          </w:r>
          <w:r w:rsidRPr="00175F17">
            <w:rPr>
              <w:rStyle w:val="slostrnky"/>
              <w:sz w:val="32"/>
              <w:szCs w:val="32"/>
            </w:rPr>
            <w:fldChar w:fldCharType="end"/>
          </w:r>
        </w:p>
      </w:tc>
    </w:tr>
  </w:tbl>
  <w:p w14:paraId="7AE38A53" w14:textId="77777777" w:rsidR="00AF1331" w:rsidRPr="00A12A05" w:rsidRDefault="00AF1331" w:rsidP="00FF4534">
    <w:pPr>
      <w:pStyle w:val="Zpat"/>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page" w:tblpX="7939" w:tblpY="1"/>
      <w:tblOverlap w:val="never"/>
      <w:tblW w:w="2673"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7227"/>
      <w:gridCol w:w="559"/>
    </w:tblGrid>
    <w:tr w:rsidR="00AF1331" w:rsidRPr="00175F17" w14:paraId="7FAF8762" w14:textId="77777777" w:rsidTr="00C965CF">
      <w:trPr>
        <w:cantSplit/>
      </w:trPr>
      <w:tc>
        <w:tcPr>
          <w:tcW w:w="4641" w:type="pct"/>
          <w:tcBorders>
            <w:top w:val="single" w:sz="2" w:space="0" w:color="FFFFFF"/>
            <w:bottom w:val="single" w:sz="2" w:space="0" w:color="FFFFFF"/>
            <w:right w:val="single" w:sz="18" w:space="0" w:color="A6A6A6"/>
          </w:tcBorders>
          <w:shd w:val="clear" w:color="auto" w:fill="auto"/>
          <w:vAlign w:val="center"/>
        </w:tcPr>
        <w:p w14:paraId="12E6E6C7" w14:textId="77777777" w:rsidR="00D450AA" w:rsidRDefault="00AF1331" w:rsidP="00072AFB">
          <w:pPr>
            <w:suppressAutoHyphens/>
            <w:spacing w:after="0"/>
            <w:jc w:val="right"/>
            <w:rPr>
              <w:b/>
              <w:color w:val="999999"/>
              <w:sz w:val="16"/>
              <w:szCs w:val="16"/>
            </w:rPr>
          </w:pPr>
          <w:r w:rsidRPr="00CE734A">
            <w:rPr>
              <w:b/>
              <w:color w:val="999999"/>
              <w:sz w:val="16"/>
              <w:szCs w:val="16"/>
            </w:rPr>
            <w:t>Zpráva k</w:t>
          </w:r>
          <w:r w:rsidR="00D450AA">
            <w:rPr>
              <w:b/>
              <w:color w:val="999999"/>
              <w:sz w:val="16"/>
              <w:szCs w:val="16"/>
            </w:rPr>
            <w:t xml:space="preserve"> návrhu</w:t>
          </w:r>
          <w:r>
            <w:rPr>
              <w:b/>
              <w:color w:val="999999"/>
              <w:sz w:val="16"/>
              <w:szCs w:val="16"/>
            </w:rPr>
            <w:t xml:space="preserve"> zákon</w:t>
          </w:r>
          <w:r w:rsidR="00D450AA">
            <w:rPr>
              <w:b/>
              <w:color w:val="999999"/>
              <w:sz w:val="16"/>
              <w:szCs w:val="16"/>
            </w:rPr>
            <w:t>a</w:t>
          </w:r>
          <w:r>
            <w:rPr>
              <w:b/>
              <w:color w:val="999999"/>
              <w:sz w:val="16"/>
              <w:szCs w:val="16"/>
            </w:rPr>
            <w:t xml:space="preserve"> </w:t>
          </w:r>
          <w:r w:rsidRPr="00CE734A">
            <w:rPr>
              <w:b/>
              <w:color w:val="999999"/>
              <w:sz w:val="16"/>
              <w:szCs w:val="16"/>
            </w:rPr>
            <w:t>o státním rozp</w:t>
          </w:r>
          <w:r>
            <w:rPr>
              <w:b/>
              <w:color w:val="999999"/>
              <w:sz w:val="16"/>
              <w:szCs w:val="16"/>
            </w:rPr>
            <w:t xml:space="preserve">očtu </w:t>
          </w:r>
        </w:p>
        <w:p w14:paraId="26BE5E9F" w14:textId="65088518" w:rsidR="00AF1331" w:rsidRPr="0017797C" w:rsidRDefault="00AF1331" w:rsidP="00072AFB">
          <w:pPr>
            <w:suppressAutoHyphens/>
            <w:spacing w:after="0"/>
            <w:jc w:val="right"/>
            <w:rPr>
              <w:b/>
              <w:noProof/>
              <w:color w:val="999999"/>
              <w:sz w:val="16"/>
              <w:szCs w:val="16"/>
            </w:rPr>
          </w:pPr>
          <w:r>
            <w:rPr>
              <w:b/>
              <w:color w:val="999999"/>
              <w:sz w:val="16"/>
              <w:szCs w:val="16"/>
            </w:rPr>
            <w:t>České republiky na rok 202</w:t>
          </w:r>
          <w:r w:rsidR="00D450AA">
            <w:rPr>
              <w:b/>
              <w:color w:val="999999"/>
              <w:sz w:val="16"/>
              <w:szCs w:val="16"/>
            </w:rPr>
            <w:t>7</w:t>
          </w:r>
        </w:p>
      </w:tc>
      <w:tc>
        <w:tcPr>
          <w:tcW w:w="359" w:type="pct"/>
          <w:tcBorders>
            <w:left w:val="single" w:sz="18" w:space="0" w:color="A6A6A6"/>
          </w:tcBorders>
          <w:shd w:val="clear" w:color="auto" w:fill="auto"/>
          <w:vAlign w:val="center"/>
        </w:tcPr>
        <w:p w14:paraId="7040C417" w14:textId="6AC5DDD6" w:rsidR="00AF1331" w:rsidRPr="006E3BB6" w:rsidRDefault="00AF1331" w:rsidP="00904C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231FA3">
            <w:rPr>
              <w:rStyle w:val="slostrnky"/>
              <w:noProof/>
              <w:sz w:val="32"/>
              <w:szCs w:val="32"/>
            </w:rPr>
            <w:t>11</w:t>
          </w:r>
          <w:r w:rsidRPr="00175F17">
            <w:rPr>
              <w:rStyle w:val="slostrnky"/>
              <w:sz w:val="32"/>
              <w:szCs w:val="32"/>
            </w:rPr>
            <w:fldChar w:fldCharType="end"/>
          </w:r>
        </w:p>
      </w:tc>
    </w:tr>
  </w:tbl>
  <w:p w14:paraId="0BE9C380" w14:textId="77777777" w:rsidR="00AF1331" w:rsidRPr="00A12A05" w:rsidRDefault="00AF1331" w:rsidP="008B6706">
    <w:pPr>
      <w:pStyle w:val="Zpa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4F2B4" w14:textId="77777777" w:rsidR="00AF1331" w:rsidRDefault="00AF1331" w:rsidP="004B7539">
      <w:pPr>
        <w:spacing w:after="0"/>
      </w:pPr>
      <w:r>
        <w:separator/>
      </w:r>
    </w:p>
  </w:footnote>
  <w:footnote w:type="continuationSeparator" w:id="0">
    <w:p w14:paraId="641C86ED" w14:textId="77777777" w:rsidR="00AF1331" w:rsidRDefault="00AF1331">
      <w:r>
        <w:continuationSeparator/>
      </w:r>
    </w:p>
    <w:p w14:paraId="357116CD" w14:textId="77777777" w:rsidR="00AF1331" w:rsidRDefault="00AF1331"/>
  </w:footnote>
  <w:footnote w:type="continuationNotice" w:id="1">
    <w:p w14:paraId="4F591675" w14:textId="77777777" w:rsidR="00AF1331" w:rsidRDefault="00AF1331">
      <w:pPr>
        <w:spacing w:after="0"/>
      </w:pPr>
    </w:p>
  </w:footnote>
  <w:footnote w:id="2">
    <w:p w14:paraId="7DA10A08" w14:textId="77777777" w:rsidR="0045351B" w:rsidRDefault="0045351B" w:rsidP="0045351B">
      <w:pPr>
        <w:pStyle w:val="Textpoznpodarou"/>
      </w:pPr>
      <w:r>
        <w:rPr>
          <w:rStyle w:val="Znakapoznpodarou"/>
        </w:rPr>
        <w:footnoteRef/>
      </w:r>
      <w:r>
        <w:t xml:space="preserve"> Mezi tyto nejistoty mj. patří objem mezinárodního obchodu, který má vliv na výši vybraných cel na úrovni EU, která jsou odváděna (75 % vybrané částky) do rozpočtu EU a tím přímo ovlivňují, jak velká jeho část je financována členskými státy, tedy odvody z jejich státních rozpočtů.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65A48" w14:textId="77777777" w:rsidR="00AF1331" w:rsidRDefault="00AF133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04516C"/>
    <w:multiLevelType w:val="hybridMultilevel"/>
    <w:tmpl w:val="54105792"/>
    <w:lvl w:ilvl="0" w:tplc="F830095A">
      <w:start w:val="1"/>
      <w:numFmt w:val="bullet"/>
      <w:pStyle w:val="SROdrka1"/>
      <w:lvlText w:val=""/>
      <w:lvlJc w:val="left"/>
      <w:pPr>
        <w:tabs>
          <w:tab w:val="num" w:pos="170"/>
        </w:tabs>
        <w:ind w:left="1078" w:hanging="1078"/>
      </w:pPr>
      <w:rPr>
        <w:rFonts w:ascii="Symbol" w:hAnsi="Symbol" w:hint="default"/>
        <w:strike w:val="0"/>
        <w:color w:val="auto"/>
      </w:rPr>
    </w:lvl>
    <w:lvl w:ilvl="1" w:tplc="9208B2C8">
      <w:start w:val="1"/>
      <w:numFmt w:val="bullet"/>
      <w:pStyle w:val="SROdrka2"/>
      <w:lvlText w:val="o"/>
      <w:lvlJc w:val="left"/>
      <w:pPr>
        <w:tabs>
          <w:tab w:val="num" w:pos="1080"/>
        </w:tabs>
        <w:ind w:left="1080" w:hanging="360"/>
      </w:pPr>
      <w:rPr>
        <w:rFonts w:ascii="Courier New" w:hAnsi="Courier New" w:cs="Courier New" w:hint="default"/>
      </w:r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1" w15:restartNumberingAfterBreak="0">
    <w:nsid w:val="279E15A6"/>
    <w:multiLevelType w:val="multilevel"/>
    <w:tmpl w:val="40E2741A"/>
    <w:lvl w:ilvl="0">
      <w:start w:val="1"/>
      <w:numFmt w:val="decimal"/>
      <w:pStyle w:val="Nadpis1"/>
      <w:lvlText w:val="%1"/>
      <w:lvlJc w:val="left"/>
      <w:pPr>
        <w:tabs>
          <w:tab w:val="num" w:pos="567"/>
        </w:tabs>
        <w:ind w:left="567" w:hanging="567"/>
      </w:pPr>
      <w:rPr>
        <w:rFonts w:ascii="Calibri" w:hAnsi="Calibri" w:hint="default"/>
        <w:color w:val="auto"/>
      </w:rPr>
    </w:lvl>
    <w:lvl w:ilvl="1">
      <w:start w:val="1"/>
      <w:numFmt w:val="decimal"/>
      <w:pStyle w:val="Nadpis2"/>
      <w:lvlText w:val="%1.%2"/>
      <w:lvlJc w:val="left"/>
      <w:pPr>
        <w:tabs>
          <w:tab w:val="num" w:pos="1135"/>
        </w:tabs>
        <w:ind w:left="1135" w:hanging="567"/>
      </w:pPr>
      <w:rPr>
        <w:rFonts w:hint="default"/>
        <w:b/>
      </w:rPr>
    </w:lvl>
    <w:lvl w:ilvl="2">
      <w:start w:val="1"/>
      <w:numFmt w:val="decimal"/>
      <w:pStyle w:val="Nadpis3"/>
      <w:lvlText w:val="%1.%2.%3"/>
      <w:lvlJc w:val="left"/>
      <w:pPr>
        <w:tabs>
          <w:tab w:val="num" w:pos="2138"/>
        </w:tabs>
        <w:ind w:left="2138"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8D36BA3"/>
    <w:multiLevelType w:val="hybridMultilevel"/>
    <w:tmpl w:val="3C40C6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EE709AF"/>
    <w:multiLevelType w:val="hybridMultilevel"/>
    <w:tmpl w:val="E006F49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57762462"/>
    <w:multiLevelType w:val="hybridMultilevel"/>
    <w:tmpl w:val="B32C2EE2"/>
    <w:lvl w:ilvl="0" w:tplc="2B56D00E">
      <w:start w:val="1"/>
      <w:numFmt w:val="bullet"/>
      <w:pStyle w:val="Styl1mmmmm"/>
      <w:lvlText w:val=""/>
      <w:lvlJc w:val="left"/>
      <w:pPr>
        <w:tabs>
          <w:tab w:val="num" w:pos="1560"/>
        </w:tabs>
        <w:ind w:left="1758" w:hanging="197"/>
      </w:pPr>
      <w:rPr>
        <w:rFonts w:ascii="Symbol" w:hAnsi="Symbol" w:hint="default"/>
      </w:rPr>
    </w:lvl>
    <w:lvl w:ilvl="1" w:tplc="04050003" w:tentative="1">
      <w:start w:val="1"/>
      <w:numFmt w:val="bullet"/>
      <w:lvlText w:val="o"/>
      <w:lvlJc w:val="left"/>
      <w:pPr>
        <w:tabs>
          <w:tab w:val="num" w:pos="1724"/>
        </w:tabs>
        <w:ind w:left="1724" w:hanging="360"/>
      </w:pPr>
      <w:rPr>
        <w:rFonts w:ascii="Courier New" w:hAnsi="Courier New" w:cs="Courier New" w:hint="default"/>
      </w:rPr>
    </w:lvl>
    <w:lvl w:ilvl="2" w:tplc="04050005" w:tentative="1">
      <w:start w:val="1"/>
      <w:numFmt w:val="bullet"/>
      <w:lvlText w:val=""/>
      <w:lvlJc w:val="left"/>
      <w:pPr>
        <w:tabs>
          <w:tab w:val="num" w:pos="2444"/>
        </w:tabs>
        <w:ind w:left="2444" w:hanging="360"/>
      </w:pPr>
      <w:rPr>
        <w:rFonts w:ascii="Wingdings" w:hAnsi="Wingdings" w:hint="default"/>
      </w:rPr>
    </w:lvl>
    <w:lvl w:ilvl="3" w:tplc="04050001" w:tentative="1">
      <w:start w:val="1"/>
      <w:numFmt w:val="bullet"/>
      <w:lvlText w:val=""/>
      <w:lvlJc w:val="left"/>
      <w:pPr>
        <w:tabs>
          <w:tab w:val="num" w:pos="3164"/>
        </w:tabs>
        <w:ind w:left="3164" w:hanging="360"/>
      </w:pPr>
      <w:rPr>
        <w:rFonts w:ascii="Symbol" w:hAnsi="Symbol" w:hint="default"/>
      </w:rPr>
    </w:lvl>
    <w:lvl w:ilvl="4" w:tplc="04050003" w:tentative="1">
      <w:start w:val="1"/>
      <w:numFmt w:val="bullet"/>
      <w:lvlText w:val="o"/>
      <w:lvlJc w:val="left"/>
      <w:pPr>
        <w:tabs>
          <w:tab w:val="num" w:pos="3884"/>
        </w:tabs>
        <w:ind w:left="3884" w:hanging="360"/>
      </w:pPr>
      <w:rPr>
        <w:rFonts w:ascii="Courier New" w:hAnsi="Courier New" w:cs="Courier New" w:hint="default"/>
      </w:rPr>
    </w:lvl>
    <w:lvl w:ilvl="5" w:tplc="04050005" w:tentative="1">
      <w:start w:val="1"/>
      <w:numFmt w:val="bullet"/>
      <w:lvlText w:val=""/>
      <w:lvlJc w:val="left"/>
      <w:pPr>
        <w:tabs>
          <w:tab w:val="num" w:pos="4604"/>
        </w:tabs>
        <w:ind w:left="4604" w:hanging="360"/>
      </w:pPr>
      <w:rPr>
        <w:rFonts w:ascii="Wingdings" w:hAnsi="Wingdings" w:hint="default"/>
      </w:rPr>
    </w:lvl>
    <w:lvl w:ilvl="6" w:tplc="04050001" w:tentative="1">
      <w:start w:val="1"/>
      <w:numFmt w:val="bullet"/>
      <w:lvlText w:val=""/>
      <w:lvlJc w:val="left"/>
      <w:pPr>
        <w:tabs>
          <w:tab w:val="num" w:pos="5324"/>
        </w:tabs>
        <w:ind w:left="5324" w:hanging="360"/>
      </w:pPr>
      <w:rPr>
        <w:rFonts w:ascii="Symbol" w:hAnsi="Symbol" w:hint="default"/>
      </w:rPr>
    </w:lvl>
    <w:lvl w:ilvl="7" w:tplc="04050003" w:tentative="1">
      <w:start w:val="1"/>
      <w:numFmt w:val="bullet"/>
      <w:lvlText w:val="o"/>
      <w:lvlJc w:val="left"/>
      <w:pPr>
        <w:tabs>
          <w:tab w:val="num" w:pos="6044"/>
        </w:tabs>
        <w:ind w:left="6044" w:hanging="360"/>
      </w:pPr>
      <w:rPr>
        <w:rFonts w:ascii="Courier New" w:hAnsi="Courier New" w:cs="Courier New" w:hint="default"/>
      </w:rPr>
    </w:lvl>
    <w:lvl w:ilvl="8" w:tplc="0405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5CC9639E"/>
    <w:multiLevelType w:val="multilevel"/>
    <w:tmpl w:val="DF30E1C8"/>
    <w:styleLink w:val="StylSodrkami"/>
    <w:lvl w:ilvl="0">
      <w:start w:val="1"/>
      <w:numFmt w:val="bullet"/>
      <w:lvlText w:val="−"/>
      <w:lvlJc w:val="left"/>
      <w:pPr>
        <w:tabs>
          <w:tab w:val="num" w:pos="720"/>
        </w:tabs>
        <w:ind w:left="720" w:hanging="360"/>
      </w:pPr>
      <w:rPr>
        <w:rFonts w:ascii="Calibri" w:hAnsi="Calibri"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A014842"/>
    <w:multiLevelType w:val="multilevel"/>
    <w:tmpl w:val="5330EC4A"/>
    <w:lvl w:ilvl="0">
      <w:start w:val="1"/>
      <w:numFmt w:val="upperLetter"/>
      <w:pStyle w:val="NadpisAB"/>
      <w:lvlText w:val="%1"/>
      <w:lvlJc w:val="left"/>
      <w:pPr>
        <w:tabs>
          <w:tab w:val="num" w:pos="567"/>
        </w:tabs>
        <w:ind w:left="567" w:hanging="567"/>
      </w:pPr>
      <w:rPr>
        <w:rFonts w:ascii="Calibri" w:hAnsi="Calibri" w:hint="default"/>
        <w:color w:val="auto"/>
      </w:rPr>
    </w:lvl>
    <w:lvl w:ilvl="1">
      <w:start w:val="1"/>
      <w:numFmt w:val="decimal"/>
      <w:lvlText w:val="%1.%2"/>
      <w:lvlJc w:val="left"/>
      <w:pPr>
        <w:tabs>
          <w:tab w:val="num" w:pos="567"/>
        </w:tabs>
        <w:ind w:left="567" w:hanging="567"/>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7CE77149"/>
    <w:multiLevelType w:val="multilevel"/>
    <w:tmpl w:val="9A96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11110179">
    <w:abstractNumId w:val="1"/>
  </w:num>
  <w:num w:numId="2" w16cid:durableId="208106602">
    <w:abstractNumId w:val="5"/>
  </w:num>
  <w:num w:numId="3" w16cid:durableId="58290884">
    <w:abstractNumId w:val="6"/>
  </w:num>
  <w:num w:numId="4" w16cid:durableId="498689731">
    <w:abstractNumId w:val="4"/>
  </w:num>
  <w:num w:numId="5" w16cid:durableId="1977683859">
    <w:abstractNumId w:val="0"/>
  </w:num>
  <w:num w:numId="6" w16cid:durableId="701856377">
    <w:abstractNumId w:val="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1527826">
    <w:abstractNumId w:val="2"/>
  </w:num>
  <w:num w:numId="8" w16cid:durableId="1499887965">
    <w:abstractNumId w:val="7"/>
  </w:num>
  <w:num w:numId="9" w16cid:durableId="20085996">
    <w:abstractNumId w:val="3"/>
  </w:num>
  <w:num w:numId="10" w16cid:durableId="994601251">
    <w:abstractNumId w:val="0"/>
  </w:num>
  <w:num w:numId="11" w16cid:durableId="1958176401">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activeWritingStyle w:appName="MSWord" w:lang="en-GB" w:vendorID="64" w:dllVersion="6" w:nlCheck="1" w:checkStyle="0"/>
  <w:activeWritingStyle w:appName="MSWord" w:lang="en-US" w:vendorID="64" w:dllVersion="6" w:nlCheck="1" w:checkStyle="0"/>
  <w:activeWritingStyle w:appName="MSWord" w:lang="cs-CZ" w:vendorID="64" w:dllVersion="4096" w:nlCheck="1" w:checkStyle="0"/>
  <w:activeWritingStyle w:appName="MSWord" w:lang="cs-CZ" w:vendorID="64" w:dllVersion="0" w:nlCheck="1" w:checkStyle="0"/>
  <w:stylePaneFormatFilter w:val="1A08" w:allStyles="0" w:customStyles="0" w:latentStyles="0" w:stylesInUse="1" w:headingStyles="0" w:numberingStyles="0" w:tableStyles="0" w:directFormattingOnRuns="0" w:directFormattingOnParagraphs="1" w:directFormattingOnNumbering="0" w:directFormattingOnTables="1" w:clearFormatting="1" w:top3HeadingStyles="0" w:visibleStyles="0" w:alternateStyleNames="0"/>
  <w:stylePaneSortMethod w:val="0000"/>
  <w:documentProtection w:edit="forms" w:enforcement="0"/>
  <w:defaultTabStop w:val="709"/>
  <w:autoHyphenation/>
  <w:consecutiveHyphenLimit w:val="2"/>
  <w:hyphenationZone w:val="425"/>
  <w:evenAndOddHeaders/>
  <w:doNotShadeFormData/>
  <w:characterSpacingControl w:val="doNotCompress"/>
  <w:hdrShapeDefaults>
    <o:shapedefaults v:ext="edit" spidmax="211969" strokecolor="#31527b">
      <v:stroke endarrow="open" color="#31527b" weight="1.5pt"/>
      <o:colormru v:ext="edit" colors="#99597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5F17"/>
    <w:rsid w:val="0000019B"/>
    <w:rsid w:val="000001AA"/>
    <w:rsid w:val="000001FB"/>
    <w:rsid w:val="00000669"/>
    <w:rsid w:val="00001159"/>
    <w:rsid w:val="00001569"/>
    <w:rsid w:val="000017D2"/>
    <w:rsid w:val="00001A34"/>
    <w:rsid w:val="00001BDB"/>
    <w:rsid w:val="00001E20"/>
    <w:rsid w:val="0000208E"/>
    <w:rsid w:val="000022F4"/>
    <w:rsid w:val="00002301"/>
    <w:rsid w:val="000023CE"/>
    <w:rsid w:val="000024F2"/>
    <w:rsid w:val="000028F8"/>
    <w:rsid w:val="000029E6"/>
    <w:rsid w:val="000029EF"/>
    <w:rsid w:val="00002AF3"/>
    <w:rsid w:val="00002D37"/>
    <w:rsid w:val="000030D2"/>
    <w:rsid w:val="000033E8"/>
    <w:rsid w:val="00003C79"/>
    <w:rsid w:val="00003EEE"/>
    <w:rsid w:val="00004468"/>
    <w:rsid w:val="00004803"/>
    <w:rsid w:val="00004C9C"/>
    <w:rsid w:val="00005363"/>
    <w:rsid w:val="00005366"/>
    <w:rsid w:val="00005417"/>
    <w:rsid w:val="000054A3"/>
    <w:rsid w:val="000054DF"/>
    <w:rsid w:val="0000571D"/>
    <w:rsid w:val="0000598C"/>
    <w:rsid w:val="00005A2A"/>
    <w:rsid w:val="00005A64"/>
    <w:rsid w:val="00005F57"/>
    <w:rsid w:val="000061B1"/>
    <w:rsid w:val="000062DF"/>
    <w:rsid w:val="00006492"/>
    <w:rsid w:val="00006536"/>
    <w:rsid w:val="0000675C"/>
    <w:rsid w:val="000069EC"/>
    <w:rsid w:val="00006C00"/>
    <w:rsid w:val="00006D27"/>
    <w:rsid w:val="00006E0F"/>
    <w:rsid w:val="00007069"/>
    <w:rsid w:val="00007221"/>
    <w:rsid w:val="0000723B"/>
    <w:rsid w:val="00007ACB"/>
    <w:rsid w:val="00010437"/>
    <w:rsid w:val="0001044A"/>
    <w:rsid w:val="0001063A"/>
    <w:rsid w:val="000106F2"/>
    <w:rsid w:val="000108BF"/>
    <w:rsid w:val="00010C58"/>
    <w:rsid w:val="00010C64"/>
    <w:rsid w:val="00010E98"/>
    <w:rsid w:val="00010F62"/>
    <w:rsid w:val="000112F3"/>
    <w:rsid w:val="00011561"/>
    <w:rsid w:val="00011CE0"/>
    <w:rsid w:val="000120C8"/>
    <w:rsid w:val="0001212F"/>
    <w:rsid w:val="0001235E"/>
    <w:rsid w:val="0001237F"/>
    <w:rsid w:val="00012F9E"/>
    <w:rsid w:val="000133BD"/>
    <w:rsid w:val="000135FE"/>
    <w:rsid w:val="00013AC9"/>
    <w:rsid w:val="00013BC8"/>
    <w:rsid w:val="00013EEA"/>
    <w:rsid w:val="00013EEE"/>
    <w:rsid w:val="0001400F"/>
    <w:rsid w:val="0001406B"/>
    <w:rsid w:val="000144DF"/>
    <w:rsid w:val="0001450B"/>
    <w:rsid w:val="000147A6"/>
    <w:rsid w:val="000147F2"/>
    <w:rsid w:val="00014F87"/>
    <w:rsid w:val="00015062"/>
    <w:rsid w:val="000152AA"/>
    <w:rsid w:val="0001595E"/>
    <w:rsid w:val="00015BB3"/>
    <w:rsid w:val="00015D44"/>
    <w:rsid w:val="00015D9C"/>
    <w:rsid w:val="00015DD6"/>
    <w:rsid w:val="000160C2"/>
    <w:rsid w:val="0001615D"/>
    <w:rsid w:val="000162ED"/>
    <w:rsid w:val="000164A2"/>
    <w:rsid w:val="0001693C"/>
    <w:rsid w:val="00016D0F"/>
    <w:rsid w:val="000170CA"/>
    <w:rsid w:val="0001725B"/>
    <w:rsid w:val="0001725D"/>
    <w:rsid w:val="00017B25"/>
    <w:rsid w:val="00017EBA"/>
    <w:rsid w:val="0002010F"/>
    <w:rsid w:val="00020225"/>
    <w:rsid w:val="0002033E"/>
    <w:rsid w:val="0002055B"/>
    <w:rsid w:val="0002076F"/>
    <w:rsid w:val="000207A3"/>
    <w:rsid w:val="00020E34"/>
    <w:rsid w:val="000213DA"/>
    <w:rsid w:val="00021A67"/>
    <w:rsid w:val="00021C80"/>
    <w:rsid w:val="00021EB0"/>
    <w:rsid w:val="00022191"/>
    <w:rsid w:val="00022370"/>
    <w:rsid w:val="000224AC"/>
    <w:rsid w:val="00022A03"/>
    <w:rsid w:val="00023827"/>
    <w:rsid w:val="000238F5"/>
    <w:rsid w:val="00023C00"/>
    <w:rsid w:val="00023D88"/>
    <w:rsid w:val="00023DA6"/>
    <w:rsid w:val="000241C0"/>
    <w:rsid w:val="0002433D"/>
    <w:rsid w:val="0002438F"/>
    <w:rsid w:val="00024510"/>
    <w:rsid w:val="0002475E"/>
    <w:rsid w:val="00024CF6"/>
    <w:rsid w:val="00025422"/>
    <w:rsid w:val="000254A6"/>
    <w:rsid w:val="00025740"/>
    <w:rsid w:val="000257EE"/>
    <w:rsid w:val="00025B00"/>
    <w:rsid w:val="00025C18"/>
    <w:rsid w:val="00025DE0"/>
    <w:rsid w:val="00025E18"/>
    <w:rsid w:val="00025F1C"/>
    <w:rsid w:val="00026202"/>
    <w:rsid w:val="000264B7"/>
    <w:rsid w:val="0002654D"/>
    <w:rsid w:val="00026BBC"/>
    <w:rsid w:val="00026D05"/>
    <w:rsid w:val="000271D5"/>
    <w:rsid w:val="000273F6"/>
    <w:rsid w:val="00027437"/>
    <w:rsid w:val="00027966"/>
    <w:rsid w:val="000279D1"/>
    <w:rsid w:val="00027B97"/>
    <w:rsid w:val="00027D51"/>
    <w:rsid w:val="00027DBB"/>
    <w:rsid w:val="0003007F"/>
    <w:rsid w:val="000305FD"/>
    <w:rsid w:val="000309D8"/>
    <w:rsid w:val="000309EE"/>
    <w:rsid w:val="00030E28"/>
    <w:rsid w:val="00030E50"/>
    <w:rsid w:val="00031038"/>
    <w:rsid w:val="0003109D"/>
    <w:rsid w:val="00031724"/>
    <w:rsid w:val="00031F0E"/>
    <w:rsid w:val="00032079"/>
    <w:rsid w:val="000322DA"/>
    <w:rsid w:val="00032AE5"/>
    <w:rsid w:val="00032FFA"/>
    <w:rsid w:val="00033964"/>
    <w:rsid w:val="00033A4F"/>
    <w:rsid w:val="00033BC1"/>
    <w:rsid w:val="00033F7C"/>
    <w:rsid w:val="00033FFC"/>
    <w:rsid w:val="00034414"/>
    <w:rsid w:val="0003445F"/>
    <w:rsid w:val="0003448F"/>
    <w:rsid w:val="0003469F"/>
    <w:rsid w:val="000347BE"/>
    <w:rsid w:val="000347D0"/>
    <w:rsid w:val="000347F4"/>
    <w:rsid w:val="00034AB5"/>
    <w:rsid w:val="00034B0D"/>
    <w:rsid w:val="00034BB2"/>
    <w:rsid w:val="00034FF8"/>
    <w:rsid w:val="000350B2"/>
    <w:rsid w:val="0003520B"/>
    <w:rsid w:val="00035475"/>
    <w:rsid w:val="0003553C"/>
    <w:rsid w:val="0003575F"/>
    <w:rsid w:val="00035A7C"/>
    <w:rsid w:val="00035B0F"/>
    <w:rsid w:val="00035CEE"/>
    <w:rsid w:val="00035F0D"/>
    <w:rsid w:val="000362E5"/>
    <w:rsid w:val="00036421"/>
    <w:rsid w:val="00036707"/>
    <w:rsid w:val="0003676C"/>
    <w:rsid w:val="00036BFA"/>
    <w:rsid w:val="00036C8F"/>
    <w:rsid w:val="00036D3E"/>
    <w:rsid w:val="00036DBA"/>
    <w:rsid w:val="00036F55"/>
    <w:rsid w:val="00037051"/>
    <w:rsid w:val="000371C5"/>
    <w:rsid w:val="00037239"/>
    <w:rsid w:val="0003792A"/>
    <w:rsid w:val="0003796E"/>
    <w:rsid w:val="00037D61"/>
    <w:rsid w:val="00040065"/>
    <w:rsid w:val="000400B8"/>
    <w:rsid w:val="0004073C"/>
    <w:rsid w:val="000408C6"/>
    <w:rsid w:val="00040EAF"/>
    <w:rsid w:val="00040EEC"/>
    <w:rsid w:val="000411FA"/>
    <w:rsid w:val="0004168A"/>
    <w:rsid w:val="000416AA"/>
    <w:rsid w:val="00041895"/>
    <w:rsid w:val="0004236F"/>
    <w:rsid w:val="00042895"/>
    <w:rsid w:val="00042B26"/>
    <w:rsid w:val="000430B1"/>
    <w:rsid w:val="0004313C"/>
    <w:rsid w:val="000436C5"/>
    <w:rsid w:val="00043913"/>
    <w:rsid w:val="00043A87"/>
    <w:rsid w:val="00043C97"/>
    <w:rsid w:val="00043E8B"/>
    <w:rsid w:val="00044273"/>
    <w:rsid w:val="00044283"/>
    <w:rsid w:val="000442E7"/>
    <w:rsid w:val="000445FD"/>
    <w:rsid w:val="00044691"/>
    <w:rsid w:val="00044A05"/>
    <w:rsid w:val="00044FB2"/>
    <w:rsid w:val="00044FD6"/>
    <w:rsid w:val="000452F8"/>
    <w:rsid w:val="0004535D"/>
    <w:rsid w:val="00045384"/>
    <w:rsid w:val="000457EE"/>
    <w:rsid w:val="00045A1E"/>
    <w:rsid w:val="00045ABD"/>
    <w:rsid w:val="00045B18"/>
    <w:rsid w:val="0004632A"/>
    <w:rsid w:val="000464A4"/>
    <w:rsid w:val="000464D8"/>
    <w:rsid w:val="000466AC"/>
    <w:rsid w:val="00046BE1"/>
    <w:rsid w:val="00047A23"/>
    <w:rsid w:val="00047A4E"/>
    <w:rsid w:val="00050343"/>
    <w:rsid w:val="00050418"/>
    <w:rsid w:val="00050885"/>
    <w:rsid w:val="00050CD9"/>
    <w:rsid w:val="00050D5A"/>
    <w:rsid w:val="00050F88"/>
    <w:rsid w:val="00051038"/>
    <w:rsid w:val="0005104B"/>
    <w:rsid w:val="00051555"/>
    <w:rsid w:val="000517EB"/>
    <w:rsid w:val="0005180B"/>
    <w:rsid w:val="00051B49"/>
    <w:rsid w:val="00051FF8"/>
    <w:rsid w:val="0005262C"/>
    <w:rsid w:val="00052AAB"/>
    <w:rsid w:val="00053C92"/>
    <w:rsid w:val="00053F95"/>
    <w:rsid w:val="00054055"/>
    <w:rsid w:val="00054227"/>
    <w:rsid w:val="000544D4"/>
    <w:rsid w:val="00054564"/>
    <w:rsid w:val="000545AE"/>
    <w:rsid w:val="000547C2"/>
    <w:rsid w:val="000547F0"/>
    <w:rsid w:val="000549DC"/>
    <w:rsid w:val="00054C08"/>
    <w:rsid w:val="00054D5B"/>
    <w:rsid w:val="00054EF0"/>
    <w:rsid w:val="00055276"/>
    <w:rsid w:val="000552E2"/>
    <w:rsid w:val="00055515"/>
    <w:rsid w:val="00055519"/>
    <w:rsid w:val="00055857"/>
    <w:rsid w:val="0005585F"/>
    <w:rsid w:val="00055906"/>
    <w:rsid w:val="00055CE6"/>
    <w:rsid w:val="00056247"/>
    <w:rsid w:val="00056547"/>
    <w:rsid w:val="0005659D"/>
    <w:rsid w:val="00056622"/>
    <w:rsid w:val="00056ACD"/>
    <w:rsid w:val="000574C4"/>
    <w:rsid w:val="00057ADD"/>
    <w:rsid w:val="00060271"/>
    <w:rsid w:val="00060534"/>
    <w:rsid w:val="00061004"/>
    <w:rsid w:val="000610C7"/>
    <w:rsid w:val="00061337"/>
    <w:rsid w:val="00061967"/>
    <w:rsid w:val="00061B2F"/>
    <w:rsid w:val="00061CFD"/>
    <w:rsid w:val="00061D13"/>
    <w:rsid w:val="00061E40"/>
    <w:rsid w:val="00061F25"/>
    <w:rsid w:val="0006215E"/>
    <w:rsid w:val="0006229D"/>
    <w:rsid w:val="00062B0C"/>
    <w:rsid w:val="00062CD1"/>
    <w:rsid w:val="000630CA"/>
    <w:rsid w:val="000631A3"/>
    <w:rsid w:val="000632BE"/>
    <w:rsid w:val="00063A06"/>
    <w:rsid w:val="00063A25"/>
    <w:rsid w:val="00063B70"/>
    <w:rsid w:val="00063EAD"/>
    <w:rsid w:val="00063F5A"/>
    <w:rsid w:val="00064668"/>
    <w:rsid w:val="000647A0"/>
    <w:rsid w:val="00064A6D"/>
    <w:rsid w:val="0006560A"/>
    <w:rsid w:val="0006587E"/>
    <w:rsid w:val="00065D4E"/>
    <w:rsid w:val="00066051"/>
    <w:rsid w:val="0006640B"/>
    <w:rsid w:val="0006653D"/>
    <w:rsid w:val="0006658C"/>
    <w:rsid w:val="000668F0"/>
    <w:rsid w:val="0006695E"/>
    <w:rsid w:val="00067350"/>
    <w:rsid w:val="000676CB"/>
    <w:rsid w:val="00067796"/>
    <w:rsid w:val="00067C4E"/>
    <w:rsid w:val="00067E7F"/>
    <w:rsid w:val="0007007F"/>
    <w:rsid w:val="000702A3"/>
    <w:rsid w:val="000703CB"/>
    <w:rsid w:val="000704B0"/>
    <w:rsid w:val="000705C1"/>
    <w:rsid w:val="0007084B"/>
    <w:rsid w:val="00070CF7"/>
    <w:rsid w:val="00070DF6"/>
    <w:rsid w:val="000710CA"/>
    <w:rsid w:val="000714D8"/>
    <w:rsid w:val="00071AAB"/>
    <w:rsid w:val="00071CAD"/>
    <w:rsid w:val="00071EFB"/>
    <w:rsid w:val="000723FF"/>
    <w:rsid w:val="000726B6"/>
    <w:rsid w:val="00072797"/>
    <w:rsid w:val="000727D8"/>
    <w:rsid w:val="0007286A"/>
    <w:rsid w:val="0007287E"/>
    <w:rsid w:val="0007291B"/>
    <w:rsid w:val="00072A5D"/>
    <w:rsid w:val="00072AFB"/>
    <w:rsid w:val="00072E00"/>
    <w:rsid w:val="00072E99"/>
    <w:rsid w:val="0007317A"/>
    <w:rsid w:val="00073B8D"/>
    <w:rsid w:val="00073ED3"/>
    <w:rsid w:val="000745CE"/>
    <w:rsid w:val="000749CA"/>
    <w:rsid w:val="000751EA"/>
    <w:rsid w:val="000755EA"/>
    <w:rsid w:val="00075627"/>
    <w:rsid w:val="00075A9D"/>
    <w:rsid w:val="00075CB0"/>
    <w:rsid w:val="00075EEF"/>
    <w:rsid w:val="0007618A"/>
    <w:rsid w:val="000761DE"/>
    <w:rsid w:val="000762E6"/>
    <w:rsid w:val="00076658"/>
    <w:rsid w:val="00076A61"/>
    <w:rsid w:val="00076B06"/>
    <w:rsid w:val="00076CFE"/>
    <w:rsid w:val="00076FF7"/>
    <w:rsid w:val="0007753A"/>
    <w:rsid w:val="000775A7"/>
    <w:rsid w:val="00077752"/>
    <w:rsid w:val="0007797D"/>
    <w:rsid w:val="00077CA3"/>
    <w:rsid w:val="00080067"/>
    <w:rsid w:val="00080280"/>
    <w:rsid w:val="000802D7"/>
    <w:rsid w:val="00080542"/>
    <w:rsid w:val="00080C8F"/>
    <w:rsid w:val="000811B0"/>
    <w:rsid w:val="00081A57"/>
    <w:rsid w:val="00081A67"/>
    <w:rsid w:val="00081AF5"/>
    <w:rsid w:val="00082F1B"/>
    <w:rsid w:val="0008312C"/>
    <w:rsid w:val="000835E8"/>
    <w:rsid w:val="000836A9"/>
    <w:rsid w:val="00083844"/>
    <w:rsid w:val="000839A8"/>
    <w:rsid w:val="00083B05"/>
    <w:rsid w:val="00083EFC"/>
    <w:rsid w:val="00084129"/>
    <w:rsid w:val="000842CD"/>
    <w:rsid w:val="00084384"/>
    <w:rsid w:val="00084AC2"/>
    <w:rsid w:val="00084D70"/>
    <w:rsid w:val="00084E06"/>
    <w:rsid w:val="00085078"/>
    <w:rsid w:val="000856A0"/>
    <w:rsid w:val="00085ACF"/>
    <w:rsid w:val="000862D1"/>
    <w:rsid w:val="000865A0"/>
    <w:rsid w:val="000867C7"/>
    <w:rsid w:val="00086973"/>
    <w:rsid w:val="00086CCE"/>
    <w:rsid w:val="00086F93"/>
    <w:rsid w:val="0008781A"/>
    <w:rsid w:val="00087B4D"/>
    <w:rsid w:val="00087BF5"/>
    <w:rsid w:val="00087F13"/>
    <w:rsid w:val="00090071"/>
    <w:rsid w:val="0009053C"/>
    <w:rsid w:val="000905C0"/>
    <w:rsid w:val="00090897"/>
    <w:rsid w:val="00090C49"/>
    <w:rsid w:val="000913BF"/>
    <w:rsid w:val="00091661"/>
    <w:rsid w:val="00091793"/>
    <w:rsid w:val="00091E20"/>
    <w:rsid w:val="00091E28"/>
    <w:rsid w:val="000923DE"/>
    <w:rsid w:val="00092A1B"/>
    <w:rsid w:val="00092E1C"/>
    <w:rsid w:val="00093221"/>
    <w:rsid w:val="00093490"/>
    <w:rsid w:val="000936EF"/>
    <w:rsid w:val="000939F1"/>
    <w:rsid w:val="00093D04"/>
    <w:rsid w:val="00093D21"/>
    <w:rsid w:val="00093FA6"/>
    <w:rsid w:val="0009411E"/>
    <w:rsid w:val="00094277"/>
    <w:rsid w:val="000945C2"/>
    <w:rsid w:val="0009461A"/>
    <w:rsid w:val="0009497F"/>
    <w:rsid w:val="000949A7"/>
    <w:rsid w:val="00094DDB"/>
    <w:rsid w:val="000952DB"/>
    <w:rsid w:val="0009585A"/>
    <w:rsid w:val="00095BDE"/>
    <w:rsid w:val="00095C9B"/>
    <w:rsid w:val="00095E19"/>
    <w:rsid w:val="00095F0B"/>
    <w:rsid w:val="0009609C"/>
    <w:rsid w:val="00096AD7"/>
    <w:rsid w:val="000974D5"/>
    <w:rsid w:val="00097580"/>
    <w:rsid w:val="000976BD"/>
    <w:rsid w:val="00097C07"/>
    <w:rsid w:val="000A0A1C"/>
    <w:rsid w:val="000A0A32"/>
    <w:rsid w:val="000A0CC0"/>
    <w:rsid w:val="000A0F1F"/>
    <w:rsid w:val="000A108C"/>
    <w:rsid w:val="000A121E"/>
    <w:rsid w:val="000A1720"/>
    <w:rsid w:val="000A1C4B"/>
    <w:rsid w:val="000A1E3D"/>
    <w:rsid w:val="000A1EA7"/>
    <w:rsid w:val="000A228D"/>
    <w:rsid w:val="000A2961"/>
    <w:rsid w:val="000A2AAD"/>
    <w:rsid w:val="000A2D43"/>
    <w:rsid w:val="000A2F4B"/>
    <w:rsid w:val="000A3057"/>
    <w:rsid w:val="000A3466"/>
    <w:rsid w:val="000A3664"/>
    <w:rsid w:val="000A399C"/>
    <w:rsid w:val="000A39F0"/>
    <w:rsid w:val="000A3A68"/>
    <w:rsid w:val="000A3A7E"/>
    <w:rsid w:val="000A3A86"/>
    <w:rsid w:val="000A3E7F"/>
    <w:rsid w:val="000A3FF9"/>
    <w:rsid w:val="000A40EF"/>
    <w:rsid w:val="000A44B8"/>
    <w:rsid w:val="000A45D1"/>
    <w:rsid w:val="000A48EE"/>
    <w:rsid w:val="000A4E33"/>
    <w:rsid w:val="000A5036"/>
    <w:rsid w:val="000A51EB"/>
    <w:rsid w:val="000A5233"/>
    <w:rsid w:val="000A5444"/>
    <w:rsid w:val="000A54FB"/>
    <w:rsid w:val="000A5944"/>
    <w:rsid w:val="000A5D08"/>
    <w:rsid w:val="000A5D53"/>
    <w:rsid w:val="000A5E4C"/>
    <w:rsid w:val="000A5FAD"/>
    <w:rsid w:val="000A60BB"/>
    <w:rsid w:val="000A6E12"/>
    <w:rsid w:val="000A7105"/>
    <w:rsid w:val="000A74E3"/>
    <w:rsid w:val="000A76DF"/>
    <w:rsid w:val="000A7CC7"/>
    <w:rsid w:val="000A7D26"/>
    <w:rsid w:val="000B00DF"/>
    <w:rsid w:val="000B015F"/>
    <w:rsid w:val="000B0192"/>
    <w:rsid w:val="000B019A"/>
    <w:rsid w:val="000B0329"/>
    <w:rsid w:val="000B03FE"/>
    <w:rsid w:val="000B042E"/>
    <w:rsid w:val="000B0449"/>
    <w:rsid w:val="000B0562"/>
    <w:rsid w:val="000B0738"/>
    <w:rsid w:val="000B099D"/>
    <w:rsid w:val="000B0F1C"/>
    <w:rsid w:val="000B1074"/>
    <w:rsid w:val="000B1353"/>
    <w:rsid w:val="000B136A"/>
    <w:rsid w:val="000B139C"/>
    <w:rsid w:val="000B168D"/>
    <w:rsid w:val="000B170B"/>
    <w:rsid w:val="000B1A59"/>
    <w:rsid w:val="000B1FE8"/>
    <w:rsid w:val="000B2328"/>
    <w:rsid w:val="000B273F"/>
    <w:rsid w:val="000B2795"/>
    <w:rsid w:val="000B2B17"/>
    <w:rsid w:val="000B2C25"/>
    <w:rsid w:val="000B3100"/>
    <w:rsid w:val="000B3B1C"/>
    <w:rsid w:val="000B3FC8"/>
    <w:rsid w:val="000B46AB"/>
    <w:rsid w:val="000B4959"/>
    <w:rsid w:val="000B542A"/>
    <w:rsid w:val="000B562A"/>
    <w:rsid w:val="000B568D"/>
    <w:rsid w:val="000B59A0"/>
    <w:rsid w:val="000B5C41"/>
    <w:rsid w:val="000B6440"/>
    <w:rsid w:val="000B6A67"/>
    <w:rsid w:val="000B6E58"/>
    <w:rsid w:val="000B7802"/>
    <w:rsid w:val="000B7A28"/>
    <w:rsid w:val="000B7AF0"/>
    <w:rsid w:val="000C0345"/>
    <w:rsid w:val="000C072E"/>
    <w:rsid w:val="000C0ABC"/>
    <w:rsid w:val="000C0BFA"/>
    <w:rsid w:val="000C1986"/>
    <w:rsid w:val="000C1BB4"/>
    <w:rsid w:val="000C1BC8"/>
    <w:rsid w:val="000C2055"/>
    <w:rsid w:val="000C24FA"/>
    <w:rsid w:val="000C25F6"/>
    <w:rsid w:val="000C29EA"/>
    <w:rsid w:val="000C2AF9"/>
    <w:rsid w:val="000C2DF8"/>
    <w:rsid w:val="000C2EE4"/>
    <w:rsid w:val="000C3305"/>
    <w:rsid w:val="000C3475"/>
    <w:rsid w:val="000C3979"/>
    <w:rsid w:val="000C3A23"/>
    <w:rsid w:val="000C3AE8"/>
    <w:rsid w:val="000C3C0E"/>
    <w:rsid w:val="000C3F12"/>
    <w:rsid w:val="000C421E"/>
    <w:rsid w:val="000C4404"/>
    <w:rsid w:val="000C47A3"/>
    <w:rsid w:val="000C4A08"/>
    <w:rsid w:val="000C4C3B"/>
    <w:rsid w:val="000C4CD1"/>
    <w:rsid w:val="000C4CEE"/>
    <w:rsid w:val="000C4E17"/>
    <w:rsid w:val="000C4E18"/>
    <w:rsid w:val="000C4E25"/>
    <w:rsid w:val="000C51AD"/>
    <w:rsid w:val="000C53E5"/>
    <w:rsid w:val="000C5484"/>
    <w:rsid w:val="000C569B"/>
    <w:rsid w:val="000C58A6"/>
    <w:rsid w:val="000C5A8A"/>
    <w:rsid w:val="000C5D7F"/>
    <w:rsid w:val="000C5DAC"/>
    <w:rsid w:val="000C5DE6"/>
    <w:rsid w:val="000C6154"/>
    <w:rsid w:val="000C65BE"/>
    <w:rsid w:val="000C6BB5"/>
    <w:rsid w:val="000C702D"/>
    <w:rsid w:val="000C7179"/>
    <w:rsid w:val="000C75DD"/>
    <w:rsid w:val="000C78EE"/>
    <w:rsid w:val="000C7C53"/>
    <w:rsid w:val="000D015E"/>
    <w:rsid w:val="000D019C"/>
    <w:rsid w:val="000D03C5"/>
    <w:rsid w:val="000D06C2"/>
    <w:rsid w:val="000D0AD0"/>
    <w:rsid w:val="000D0BEC"/>
    <w:rsid w:val="000D0DE1"/>
    <w:rsid w:val="000D1045"/>
    <w:rsid w:val="000D117D"/>
    <w:rsid w:val="000D11BF"/>
    <w:rsid w:val="000D123E"/>
    <w:rsid w:val="000D14E5"/>
    <w:rsid w:val="000D17D8"/>
    <w:rsid w:val="000D1A3C"/>
    <w:rsid w:val="000D1C42"/>
    <w:rsid w:val="000D1F34"/>
    <w:rsid w:val="000D2126"/>
    <w:rsid w:val="000D23E7"/>
    <w:rsid w:val="000D28EC"/>
    <w:rsid w:val="000D2B7A"/>
    <w:rsid w:val="000D30C9"/>
    <w:rsid w:val="000D32F0"/>
    <w:rsid w:val="000D37FF"/>
    <w:rsid w:val="000D3889"/>
    <w:rsid w:val="000D3B7C"/>
    <w:rsid w:val="000D3C03"/>
    <w:rsid w:val="000D428A"/>
    <w:rsid w:val="000D440D"/>
    <w:rsid w:val="000D4486"/>
    <w:rsid w:val="000D4660"/>
    <w:rsid w:val="000D466E"/>
    <w:rsid w:val="000D4B86"/>
    <w:rsid w:val="000D4F50"/>
    <w:rsid w:val="000D56A3"/>
    <w:rsid w:val="000D6485"/>
    <w:rsid w:val="000D64BA"/>
    <w:rsid w:val="000D6711"/>
    <w:rsid w:val="000D6D01"/>
    <w:rsid w:val="000D6E8F"/>
    <w:rsid w:val="000D6FFA"/>
    <w:rsid w:val="000D709E"/>
    <w:rsid w:val="000D7324"/>
    <w:rsid w:val="000D74EA"/>
    <w:rsid w:val="000D7C3F"/>
    <w:rsid w:val="000D7DFA"/>
    <w:rsid w:val="000D7EA7"/>
    <w:rsid w:val="000E0DA0"/>
    <w:rsid w:val="000E0EA6"/>
    <w:rsid w:val="000E0FB1"/>
    <w:rsid w:val="000E1172"/>
    <w:rsid w:val="000E1456"/>
    <w:rsid w:val="000E149E"/>
    <w:rsid w:val="000E1531"/>
    <w:rsid w:val="000E1583"/>
    <w:rsid w:val="000E1792"/>
    <w:rsid w:val="000E1898"/>
    <w:rsid w:val="000E1F6F"/>
    <w:rsid w:val="000E20EE"/>
    <w:rsid w:val="000E213D"/>
    <w:rsid w:val="000E2241"/>
    <w:rsid w:val="000E2506"/>
    <w:rsid w:val="000E25B7"/>
    <w:rsid w:val="000E2730"/>
    <w:rsid w:val="000E2F2C"/>
    <w:rsid w:val="000E2F52"/>
    <w:rsid w:val="000E2F67"/>
    <w:rsid w:val="000E2FAC"/>
    <w:rsid w:val="000E3054"/>
    <w:rsid w:val="000E318C"/>
    <w:rsid w:val="000E321C"/>
    <w:rsid w:val="000E35E7"/>
    <w:rsid w:val="000E37EC"/>
    <w:rsid w:val="000E3C52"/>
    <w:rsid w:val="000E3CB0"/>
    <w:rsid w:val="000E42F7"/>
    <w:rsid w:val="000E432A"/>
    <w:rsid w:val="000E4F4B"/>
    <w:rsid w:val="000E51F0"/>
    <w:rsid w:val="000E522C"/>
    <w:rsid w:val="000E5A1E"/>
    <w:rsid w:val="000E5D26"/>
    <w:rsid w:val="000E5E9C"/>
    <w:rsid w:val="000E60F2"/>
    <w:rsid w:val="000E615B"/>
    <w:rsid w:val="000E6246"/>
    <w:rsid w:val="000E6592"/>
    <w:rsid w:val="000E6934"/>
    <w:rsid w:val="000E6DD6"/>
    <w:rsid w:val="000E6E03"/>
    <w:rsid w:val="000E7A40"/>
    <w:rsid w:val="000E7B30"/>
    <w:rsid w:val="000E7F57"/>
    <w:rsid w:val="000E7F64"/>
    <w:rsid w:val="000E7FC2"/>
    <w:rsid w:val="000E7FE9"/>
    <w:rsid w:val="000F0074"/>
    <w:rsid w:val="000F0329"/>
    <w:rsid w:val="000F07A6"/>
    <w:rsid w:val="000F0820"/>
    <w:rsid w:val="000F0B1D"/>
    <w:rsid w:val="000F0C93"/>
    <w:rsid w:val="000F0D93"/>
    <w:rsid w:val="000F0FE9"/>
    <w:rsid w:val="000F1358"/>
    <w:rsid w:val="000F143C"/>
    <w:rsid w:val="000F145C"/>
    <w:rsid w:val="000F1CCC"/>
    <w:rsid w:val="000F1F49"/>
    <w:rsid w:val="000F2196"/>
    <w:rsid w:val="000F244F"/>
    <w:rsid w:val="000F2606"/>
    <w:rsid w:val="000F2724"/>
    <w:rsid w:val="000F276B"/>
    <w:rsid w:val="000F3279"/>
    <w:rsid w:val="000F33DE"/>
    <w:rsid w:val="000F341C"/>
    <w:rsid w:val="000F3B85"/>
    <w:rsid w:val="000F3D4A"/>
    <w:rsid w:val="000F4377"/>
    <w:rsid w:val="000F4696"/>
    <w:rsid w:val="000F46D7"/>
    <w:rsid w:val="000F48A8"/>
    <w:rsid w:val="000F4D04"/>
    <w:rsid w:val="000F4ED8"/>
    <w:rsid w:val="000F530A"/>
    <w:rsid w:val="000F59B7"/>
    <w:rsid w:val="000F5D39"/>
    <w:rsid w:val="000F5F8D"/>
    <w:rsid w:val="000F5FB7"/>
    <w:rsid w:val="000F6124"/>
    <w:rsid w:val="000F6A87"/>
    <w:rsid w:val="000F6B96"/>
    <w:rsid w:val="000F6DFB"/>
    <w:rsid w:val="000F6F05"/>
    <w:rsid w:val="000F727F"/>
    <w:rsid w:val="000F7525"/>
    <w:rsid w:val="000F78C9"/>
    <w:rsid w:val="000F7A1D"/>
    <w:rsid w:val="000F7C59"/>
    <w:rsid w:val="00100319"/>
    <w:rsid w:val="00100955"/>
    <w:rsid w:val="00100CEB"/>
    <w:rsid w:val="00100D11"/>
    <w:rsid w:val="00100E45"/>
    <w:rsid w:val="0010122A"/>
    <w:rsid w:val="00101787"/>
    <w:rsid w:val="00101862"/>
    <w:rsid w:val="00101D61"/>
    <w:rsid w:val="001020E7"/>
    <w:rsid w:val="0010269C"/>
    <w:rsid w:val="00102912"/>
    <w:rsid w:val="00102C25"/>
    <w:rsid w:val="00102EE3"/>
    <w:rsid w:val="001030E4"/>
    <w:rsid w:val="0010325A"/>
    <w:rsid w:val="00103609"/>
    <w:rsid w:val="001037A5"/>
    <w:rsid w:val="001039B4"/>
    <w:rsid w:val="001039C9"/>
    <w:rsid w:val="00103A41"/>
    <w:rsid w:val="00103F92"/>
    <w:rsid w:val="00103FE2"/>
    <w:rsid w:val="001042FF"/>
    <w:rsid w:val="00104535"/>
    <w:rsid w:val="00104947"/>
    <w:rsid w:val="00104A07"/>
    <w:rsid w:val="00104DAE"/>
    <w:rsid w:val="00105187"/>
    <w:rsid w:val="0010568A"/>
    <w:rsid w:val="001058AC"/>
    <w:rsid w:val="00105D98"/>
    <w:rsid w:val="00105E1C"/>
    <w:rsid w:val="00105F83"/>
    <w:rsid w:val="00106C33"/>
    <w:rsid w:val="0010781F"/>
    <w:rsid w:val="0011051C"/>
    <w:rsid w:val="001106B3"/>
    <w:rsid w:val="001106E3"/>
    <w:rsid w:val="00110A3A"/>
    <w:rsid w:val="00110DFC"/>
    <w:rsid w:val="001111B5"/>
    <w:rsid w:val="001116C2"/>
    <w:rsid w:val="001116E5"/>
    <w:rsid w:val="00111701"/>
    <w:rsid w:val="001117F2"/>
    <w:rsid w:val="00111D7A"/>
    <w:rsid w:val="00111F1E"/>
    <w:rsid w:val="001120B9"/>
    <w:rsid w:val="00112547"/>
    <w:rsid w:val="0011270D"/>
    <w:rsid w:val="0011278F"/>
    <w:rsid w:val="0011289B"/>
    <w:rsid w:val="00112ADC"/>
    <w:rsid w:val="00113225"/>
    <w:rsid w:val="001134CC"/>
    <w:rsid w:val="00113A05"/>
    <w:rsid w:val="00113C61"/>
    <w:rsid w:val="00113E77"/>
    <w:rsid w:val="00113FA9"/>
    <w:rsid w:val="00114213"/>
    <w:rsid w:val="0011448E"/>
    <w:rsid w:val="001148E8"/>
    <w:rsid w:val="00114B1D"/>
    <w:rsid w:val="00114C01"/>
    <w:rsid w:val="00114D65"/>
    <w:rsid w:val="00114DA4"/>
    <w:rsid w:val="00114E19"/>
    <w:rsid w:val="00114E75"/>
    <w:rsid w:val="00114F62"/>
    <w:rsid w:val="001150AF"/>
    <w:rsid w:val="0011557D"/>
    <w:rsid w:val="001156A5"/>
    <w:rsid w:val="00115A60"/>
    <w:rsid w:val="00115D6B"/>
    <w:rsid w:val="0011612C"/>
    <w:rsid w:val="00116780"/>
    <w:rsid w:val="001167F1"/>
    <w:rsid w:val="001168D2"/>
    <w:rsid w:val="001170F6"/>
    <w:rsid w:val="001175EA"/>
    <w:rsid w:val="0011763A"/>
    <w:rsid w:val="00117A29"/>
    <w:rsid w:val="00117A3D"/>
    <w:rsid w:val="00117AA0"/>
    <w:rsid w:val="00120306"/>
    <w:rsid w:val="00120ECE"/>
    <w:rsid w:val="00121010"/>
    <w:rsid w:val="00121671"/>
    <w:rsid w:val="0012211F"/>
    <w:rsid w:val="00122183"/>
    <w:rsid w:val="00122272"/>
    <w:rsid w:val="00122AB2"/>
    <w:rsid w:val="00122E9F"/>
    <w:rsid w:val="00123735"/>
    <w:rsid w:val="00123E79"/>
    <w:rsid w:val="00123FC6"/>
    <w:rsid w:val="0012408F"/>
    <w:rsid w:val="0012468A"/>
    <w:rsid w:val="00124D9E"/>
    <w:rsid w:val="00124EAE"/>
    <w:rsid w:val="00125050"/>
    <w:rsid w:val="001254D7"/>
    <w:rsid w:val="00125888"/>
    <w:rsid w:val="00125982"/>
    <w:rsid w:val="00125DAC"/>
    <w:rsid w:val="00125F16"/>
    <w:rsid w:val="0012653F"/>
    <w:rsid w:val="001266F3"/>
    <w:rsid w:val="00126719"/>
    <w:rsid w:val="00126F46"/>
    <w:rsid w:val="00127163"/>
    <w:rsid w:val="00127336"/>
    <w:rsid w:val="001274D5"/>
    <w:rsid w:val="0012750D"/>
    <w:rsid w:val="0012764C"/>
    <w:rsid w:val="001279D2"/>
    <w:rsid w:val="00130062"/>
    <w:rsid w:val="0013011B"/>
    <w:rsid w:val="001302ED"/>
    <w:rsid w:val="00130AA3"/>
    <w:rsid w:val="00130E49"/>
    <w:rsid w:val="001310BB"/>
    <w:rsid w:val="00131343"/>
    <w:rsid w:val="0013142A"/>
    <w:rsid w:val="0013178B"/>
    <w:rsid w:val="00131BB8"/>
    <w:rsid w:val="0013223B"/>
    <w:rsid w:val="001322FE"/>
    <w:rsid w:val="00132A1E"/>
    <w:rsid w:val="00132A44"/>
    <w:rsid w:val="00132B2B"/>
    <w:rsid w:val="0013325C"/>
    <w:rsid w:val="00133298"/>
    <w:rsid w:val="0013343B"/>
    <w:rsid w:val="00133554"/>
    <w:rsid w:val="00133860"/>
    <w:rsid w:val="00133DA8"/>
    <w:rsid w:val="00134223"/>
    <w:rsid w:val="001344DB"/>
    <w:rsid w:val="00134904"/>
    <w:rsid w:val="00134907"/>
    <w:rsid w:val="00134ADD"/>
    <w:rsid w:val="00134E64"/>
    <w:rsid w:val="00134F1E"/>
    <w:rsid w:val="0013536E"/>
    <w:rsid w:val="00135CA6"/>
    <w:rsid w:val="00135E72"/>
    <w:rsid w:val="00135EB3"/>
    <w:rsid w:val="00135F4B"/>
    <w:rsid w:val="00136355"/>
    <w:rsid w:val="001363E0"/>
    <w:rsid w:val="0013697F"/>
    <w:rsid w:val="0013698F"/>
    <w:rsid w:val="00136AC0"/>
    <w:rsid w:val="00136ACD"/>
    <w:rsid w:val="00136B1B"/>
    <w:rsid w:val="00136D6E"/>
    <w:rsid w:val="00136EF6"/>
    <w:rsid w:val="00136FAE"/>
    <w:rsid w:val="0013725B"/>
    <w:rsid w:val="001374EF"/>
    <w:rsid w:val="00137627"/>
    <w:rsid w:val="001377B7"/>
    <w:rsid w:val="00137C5B"/>
    <w:rsid w:val="00137D20"/>
    <w:rsid w:val="00137D9B"/>
    <w:rsid w:val="00137EB4"/>
    <w:rsid w:val="0014025A"/>
    <w:rsid w:val="00140367"/>
    <w:rsid w:val="001405C4"/>
    <w:rsid w:val="00141006"/>
    <w:rsid w:val="00141555"/>
    <w:rsid w:val="001419C7"/>
    <w:rsid w:val="00141B92"/>
    <w:rsid w:val="00141F04"/>
    <w:rsid w:val="00141F64"/>
    <w:rsid w:val="001420BA"/>
    <w:rsid w:val="00142231"/>
    <w:rsid w:val="0014244C"/>
    <w:rsid w:val="00142546"/>
    <w:rsid w:val="0014270A"/>
    <w:rsid w:val="00142E99"/>
    <w:rsid w:val="0014311A"/>
    <w:rsid w:val="00143262"/>
    <w:rsid w:val="001432C5"/>
    <w:rsid w:val="00143B59"/>
    <w:rsid w:val="00143F31"/>
    <w:rsid w:val="00144771"/>
    <w:rsid w:val="00145183"/>
    <w:rsid w:val="00145393"/>
    <w:rsid w:val="0014551F"/>
    <w:rsid w:val="001455A8"/>
    <w:rsid w:val="001455FB"/>
    <w:rsid w:val="001457D1"/>
    <w:rsid w:val="00145859"/>
    <w:rsid w:val="00145CE0"/>
    <w:rsid w:val="00145DFA"/>
    <w:rsid w:val="00145FFD"/>
    <w:rsid w:val="001460E2"/>
    <w:rsid w:val="001461CF"/>
    <w:rsid w:val="0014643F"/>
    <w:rsid w:val="00146853"/>
    <w:rsid w:val="00146AA5"/>
    <w:rsid w:val="0014716B"/>
    <w:rsid w:val="0014770B"/>
    <w:rsid w:val="00147999"/>
    <w:rsid w:val="00147BB0"/>
    <w:rsid w:val="00150275"/>
    <w:rsid w:val="001503C0"/>
    <w:rsid w:val="00150579"/>
    <w:rsid w:val="00150AEA"/>
    <w:rsid w:val="0015140F"/>
    <w:rsid w:val="00151537"/>
    <w:rsid w:val="00151702"/>
    <w:rsid w:val="0015183D"/>
    <w:rsid w:val="00151B85"/>
    <w:rsid w:val="00151BA7"/>
    <w:rsid w:val="00151D09"/>
    <w:rsid w:val="00152126"/>
    <w:rsid w:val="00152316"/>
    <w:rsid w:val="0015254F"/>
    <w:rsid w:val="001528DC"/>
    <w:rsid w:val="00152AC2"/>
    <w:rsid w:val="00152AE8"/>
    <w:rsid w:val="00152CA1"/>
    <w:rsid w:val="00152F6E"/>
    <w:rsid w:val="00153268"/>
    <w:rsid w:val="0015350F"/>
    <w:rsid w:val="001537CA"/>
    <w:rsid w:val="00153E90"/>
    <w:rsid w:val="00153EC3"/>
    <w:rsid w:val="00154B53"/>
    <w:rsid w:val="001551D5"/>
    <w:rsid w:val="00155892"/>
    <w:rsid w:val="001559E6"/>
    <w:rsid w:val="00155DFC"/>
    <w:rsid w:val="00156034"/>
    <w:rsid w:val="001561B8"/>
    <w:rsid w:val="001562AF"/>
    <w:rsid w:val="001566EA"/>
    <w:rsid w:val="001567D6"/>
    <w:rsid w:val="00156839"/>
    <w:rsid w:val="001569AD"/>
    <w:rsid w:val="001569E5"/>
    <w:rsid w:val="00156E7A"/>
    <w:rsid w:val="00157471"/>
    <w:rsid w:val="00157693"/>
    <w:rsid w:val="00157A4F"/>
    <w:rsid w:val="001600CB"/>
    <w:rsid w:val="001600DE"/>
    <w:rsid w:val="0016020B"/>
    <w:rsid w:val="00160245"/>
    <w:rsid w:val="001605BF"/>
    <w:rsid w:val="0016099A"/>
    <w:rsid w:val="00160B32"/>
    <w:rsid w:val="00160DA0"/>
    <w:rsid w:val="00160E60"/>
    <w:rsid w:val="00160FFE"/>
    <w:rsid w:val="00161557"/>
    <w:rsid w:val="0016157B"/>
    <w:rsid w:val="001615DA"/>
    <w:rsid w:val="0016164D"/>
    <w:rsid w:val="001616BE"/>
    <w:rsid w:val="00161775"/>
    <w:rsid w:val="00161A97"/>
    <w:rsid w:val="00161AB4"/>
    <w:rsid w:val="00161D98"/>
    <w:rsid w:val="00162123"/>
    <w:rsid w:val="0016229A"/>
    <w:rsid w:val="0016233F"/>
    <w:rsid w:val="001623B0"/>
    <w:rsid w:val="0016279A"/>
    <w:rsid w:val="00162A64"/>
    <w:rsid w:val="00162B5D"/>
    <w:rsid w:val="00162E88"/>
    <w:rsid w:val="001631D4"/>
    <w:rsid w:val="00163678"/>
    <w:rsid w:val="001636CC"/>
    <w:rsid w:val="001636E3"/>
    <w:rsid w:val="00163830"/>
    <w:rsid w:val="00163836"/>
    <w:rsid w:val="00163887"/>
    <w:rsid w:val="00163AA3"/>
    <w:rsid w:val="00163D62"/>
    <w:rsid w:val="0016405E"/>
    <w:rsid w:val="0016441A"/>
    <w:rsid w:val="00164464"/>
    <w:rsid w:val="0016492D"/>
    <w:rsid w:val="00164E27"/>
    <w:rsid w:val="0016529D"/>
    <w:rsid w:val="001652EC"/>
    <w:rsid w:val="00165315"/>
    <w:rsid w:val="00165681"/>
    <w:rsid w:val="00166054"/>
    <w:rsid w:val="00166138"/>
    <w:rsid w:val="001661A4"/>
    <w:rsid w:val="0016633F"/>
    <w:rsid w:val="00166734"/>
    <w:rsid w:val="00166CEE"/>
    <w:rsid w:val="00166CFA"/>
    <w:rsid w:val="00166F7B"/>
    <w:rsid w:val="00167330"/>
    <w:rsid w:val="00167339"/>
    <w:rsid w:val="0016746A"/>
    <w:rsid w:val="0016764D"/>
    <w:rsid w:val="0016799A"/>
    <w:rsid w:val="00167EE8"/>
    <w:rsid w:val="00170251"/>
    <w:rsid w:val="001702CC"/>
    <w:rsid w:val="0017050D"/>
    <w:rsid w:val="00170586"/>
    <w:rsid w:val="00170587"/>
    <w:rsid w:val="00170993"/>
    <w:rsid w:val="001709D7"/>
    <w:rsid w:val="00170B8B"/>
    <w:rsid w:val="001712FF"/>
    <w:rsid w:val="0017137F"/>
    <w:rsid w:val="00171720"/>
    <w:rsid w:val="00171B3B"/>
    <w:rsid w:val="00171C58"/>
    <w:rsid w:val="00171E44"/>
    <w:rsid w:val="0017214A"/>
    <w:rsid w:val="001723D8"/>
    <w:rsid w:val="001723FB"/>
    <w:rsid w:val="001724B7"/>
    <w:rsid w:val="00172A98"/>
    <w:rsid w:val="001731C0"/>
    <w:rsid w:val="00173523"/>
    <w:rsid w:val="00173662"/>
    <w:rsid w:val="001736C6"/>
    <w:rsid w:val="001736D8"/>
    <w:rsid w:val="001738E6"/>
    <w:rsid w:val="00173A3E"/>
    <w:rsid w:val="0017449A"/>
    <w:rsid w:val="001744FB"/>
    <w:rsid w:val="00174563"/>
    <w:rsid w:val="00174568"/>
    <w:rsid w:val="00174708"/>
    <w:rsid w:val="0017490B"/>
    <w:rsid w:val="00174C04"/>
    <w:rsid w:val="00174D7E"/>
    <w:rsid w:val="0017533D"/>
    <w:rsid w:val="0017539F"/>
    <w:rsid w:val="001757A4"/>
    <w:rsid w:val="00175F17"/>
    <w:rsid w:val="00175FE9"/>
    <w:rsid w:val="001761F3"/>
    <w:rsid w:val="0017647B"/>
    <w:rsid w:val="00176A69"/>
    <w:rsid w:val="00176D51"/>
    <w:rsid w:val="00176E6D"/>
    <w:rsid w:val="00176EE5"/>
    <w:rsid w:val="00176F00"/>
    <w:rsid w:val="001773BD"/>
    <w:rsid w:val="00177654"/>
    <w:rsid w:val="001776A2"/>
    <w:rsid w:val="001778C0"/>
    <w:rsid w:val="0017797C"/>
    <w:rsid w:val="00177E3B"/>
    <w:rsid w:val="001800D0"/>
    <w:rsid w:val="001802DB"/>
    <w:rsid w:val="00180B31"/>
    <w:rsid w:val="00181139"/>
    <w:rsid w:val="0018115E"/>
    <w:rsid w:val="001811CE"/>
    <w:rsid w:val="00181745"/>
    <w:rsid w:val="00181F5A"/>
    <w:rsid w:val="00182CD5"/>
    <w:rsid w:val="00182E10"/>
    <w:rsid w:val="001830EE"/>
    <w:rsid w:val="001832F7"/>
    <w:rsid w:val="001835EA"/>
    <w:rsid w:val="001838CE"/>
    <w:rsid w:val="00183931"/>
    <w:rsid w:val="0018397F"/>
    <w:rsid w:val="00183B26"/>
    <w:rsid w:val="00183FD3"/>
    <w:rsid w:val="001841A5"/>
    <w:rsid w:val="00184225"/>
    <w:rsid w:val="001843D2"/>
    <w:rsid w:val="00184990"/>
    <w:rsid w:val="00184EC8"/>
    <w:rsid w:val="0018512F"/>
    <w:rsid w:val="00185692"/>
    <w:rsid w:val="00185733"/>
    <w:rsid w:val="0018586A"/>
    <w:rsid w:val="00185B76"/>
    <w:rsid w:val="00185BE8"/>
    <w:rsid w:val="0018613D"/>
    <w:rsid w:val="0018639F"/>
    <w:rsid w:val="001868BA"/>
    <w:rsid w:val="0018714D"/>
    <w:rsid w:val="001871E7"/>
    <w:rsid w:val="00187337"/>
    <w:rsid w:val="001876B3"/>
    <w:rsid w:val="00187B06"/>
    <w:rsid w:val="00187D80"/>
    <w:rsid w:val="00187F5B"/>
    <w:rsid w:val="001901A0"/>
    <w:rsid w:val="00190519"/>
    <w:rsid w:val="00190788"/>
    <w:rsid w:val="00190920"/>
    <w:rsid w:val="001909B1"/>
    <w:rsid w:val="00190C20"/>
    <w:rsid w:val="00190DE6"/>
    <w:rsid w:val="00190DE9"/>
    <w:rsid w:val="001919E2"/>
    <w:rsid w:val="00191FBC"/>
    <w:rsid w:val="0019213E"/>
    <w:rsid w:val="0019217B"/>
    <w:rsid w:val="0019218B"/>
    <w:rsid w:val="001925C0"/>
    <w:rsid w:val="00192BFD"/>
    <w:rsid w:val="00192F15"/>
    <w:rsid w:val="00193596"/>
    <w:rsid w:val="001936FD"/>
    <w:rsid w:val="00193DF4"/>
    <w:rsid w:val="001942B8"/>
    <w:rsid w:val="001942CA"/>
    <w:rsid w:val="00194668"/>
    <w:rsid w:val="00194768"/>
    <w:rsid w:val="00194929"/>
    <w:rsid w:val="00195122"/>
    <w:rsid w:val="001956F4"/>
    <w:rsid w:val="001957E5"/>
    <w:rsid w:val="00195870"/>
    <w:rsid w:val="00195A12"/>
    <w:rsid w:val="00195E55"/>
    <w:rsid w:val="001960E7"/>
    <w:rsid w:val="001966D9"/>
    <w:rsid w:val="00197150"/>
    <w:rsid w:val="00197511"/>
    <w:rsid w:val="00197992"/>
    <w:rsid w:val="001979FE"/>
    <w:rsid w:val="00197E72"/>
    <w:rsid w:val="001A02A6"/>
    <w:rsid w:val="001A07D7"/>
    <w:rsid w:val="001A0FB4"/>
    <w:rsid w:val="001A1541"/>
    <w:rsid w:val="001A165F"/>
    <w:rsid w:val="001A1892"/>
    <w:rsid w:val="001A1DD2"/>
    <w:rsid w:val="001A1EAA"/>
    <w:rsid w:val="001A2A8B"/>
    <w:rsid w:val="001A2AB5"/>
    <w:rsid w:val="001A31C1"/>
    <w:rsid w:val="001A348B"/>
    <w:rsid w:val="001A381E"/>
    <w:rsid w:val="001A41CC"/>
    <w:rsid w:val="001A4600"/>
    <w:rsid w:val="001A481A"/>
    <w:rsid w:val="001A49CB"/>
    <w:rsid w:val="001A4CD6"/>
    <w:rsid w:val="001A50BA"/>
    <w:rsid w:val="001A54AB"/>
    <w:rsid w:val="001A54CE"/>
    <w:rsid w:val="001A54EA"/>
    <w:rsid w:val="001A569F"/>
    <w:rsid w:val="001A5879"/>
    <w:rsid w:val="001A5C86"/>
    <w:rsid w:val="001A5EA9"/>
    <w:rsid w:val="001A5F7D"/>
    <w:rsid w:val="001A616B"/>
    <w:rsid w:val="001A6624"/>
    <w:rsid w:val="001A66AD"/>
    <w:rsid w:val="001A6876"/>
    <w:rsid w:val="001A6954"/>
    <w:rsid w:val="001A69C2"/>
    <w:rsid w:val="001A69E2"/>
    <w:rsid w:val="001A6A5D"/>
    <w:rsid w:val="001A6CB7"/>
    <w:rsid w:val="001A704E"/>
    <w:rsid w:val="001A714C"/>
    <w:rsid w:val="001A7200"/>
    <w:rsid w:val="001A728A"/>
    <w:rsid w:val="001A75C7"/>
    <w:rsid w:val="001A7852"/>
    <w:rsid w:val="001A7B80"/>
    <w:rsid w:val="001A7BF0"/>
    <w:rsid w:val="001A7FF1"/>
    <w:rsid w:val="001B021B"/>
    <w:rsid w:val="001B025B"/>
    <w:rsid w:val="001B0330"/>
    <w:rsid w:val="001B03B9"/>
    <w:rsid w:val="001B062C"/>
    <w:rsid w:val="001B077C"/>
    <w:rsid w:val="001B087D"/>
    <w:rsid w:val="001B08B4"/>
    <w:rsid w:val="001B0B09"/>
    <w:rsid w:val="001B0E03"/>
    <w:rsid w:val="001B1411"/>
    <w:rsid w:val="001B1741"/>
    <w:rsid w:val="001B19CF"/>
    <w:rsid w:val="001B1C82"/>
    <w:rsid w:val="001B1D21"/>
    <w:rsid w:val="001B1EEC"/>
    <w:rsid w:val="001B1F60"/>
    <w:rsid w:val="001B22A5"/>
    <w:rsid w:val="001B23DD"/>
    <w:rsid w:val="001B28E6"/>
    <w:rsid w:val="001B2991"/>
    <w:rsid w:val="001B299D"/>
    <w:rsid w:val="001B2CE0"/>
    <w:rsid w:val="001B2EBC"/>
    <w:rsid w:val="001B3063"/>
    <w:rsid w:val="001B30D5"/>
    <w:rsid w:val="001B312C"/>
    <w:rsid w:val="001B3409"/>
    <w:rsid w:val="001B3713"/>
    <w:rsid w:val="001B3726"/>
    <w:rsid w:val="001B3775"/>
    <w:rsid w:val="001B3A53"/>
    <w:rsid w:val="001B3FFB"/>
    <w:rsid w:val="001B439C"/>
    <w:rsid w:val="001B48DB"/>
    <w:rsid w:val="001B4BF2"/>
    <w:rsid w:val="001B4E32"/>
    <w:rsid w:val="001B4F07"/>
    <w:rsid w:val="001B599F"/>
    <w:rsid w:val="001B5A16"/>
    <w:rsid w:val="001B5A46"/>
    <w:rsid w:val="001B5D79"/>
    <w:rsid w:val="001B5DB0"/>
    <w:rsid w:val="001B5FDD"/>
    <w:rsid w:val="001B6493"/>
    <w:rsid w:val="001B6530"/>
    <w:rsid w:val="001B66FE"/>
    <w:rsid w:val="001B679F"/>
    <w:rsid w:val="001B68AD"/>
    <w:rsid w:val="001B697D"/>
    <w:rsid w:val="001B6B69"/>
    <w:rsid w:val="001B6EDC"/>
    <w:rsid w:val="001B7ECC"/>
    <w:rsid w:val="001B7FA9"/>
    <w:rsid w:val="001C062A"/>
    <w:rsid w:val="001C09CF"/>
    <w:rsid w:val="001C0B6C"/>
    <w:rsid w:val="001C0EF2"/>
    <w:rsid w:val="001C170D"/>
    <w:rsid w:val="001C1954"/>
    <w:rsid w:val="001C1DAA"/>
    <w:rsid w:val="001C23C7"/>
    <w:rsid w:val="001C27B7"/>
    <w:rsid w:val="001C27FB"/>
    <w:rsid w:val="001C2D17"/>
    <w:rsid w:val="001C3000"/>
    <w:rsid w:val="001C318E"/>
    <w:rsid w:val="001C31A2"/>
    <w:rsid w:val="001C3205"/>
    <w:rsid w:val="001C32EC"/>
    <w:rsid w:val="001C3468"/>
    <w:rsid w:val="001C383E"/>
    <w:rsid w:val="001C3A36"/>
    <w:rsid w:val="001C5064"/>
    <w:rsid w:val="001C53C6"/>
    <w:rsid w:val="001C5568"/>
    <w:rsid w:val="001C56A4"/>
    <w:rsid w:val="001C59C9"/>
    <w:rsid w:val="001C5A75"/>
    <w:rsid w:val="001C5F4B"/>
    <w:rsid w:val="001C64D5"/>
    <w:rsid w:val="001C6898"/>
    <w:rsid w:val="001C6C35"/>
    <w:rsid w:val="001C7403"/>
    <w:rsid w:val="001C76B9"/>
    <w:rsid w:val="001C7A45"/>
    <w:rsid w:val="001C7B8C"/>
    <w:rsid w:val="001C7D7E"/>
    <w:rsid w:val="001D0251"/>
    <w:rsid w:val="001D06BC"/>
    <w:rsid w:val="001D0A83"/>
    <w:rsid w:val="001D1519"/>
    <w:rsid w:val="001D1CDA"/>
    <w:rsid w:val="001D1D98"/>
    <w:rsid w:val="001D22E5"/>
    <w:rsid w:val="001D230D"/>
    <w:rsid w:val="001D2353"/>
    <w:rsid w:val="001D2415"/>
    <w:rsid w:val="001D330E"/>
    <w:rsid w:val="001D387D"/>
    <w:rsid w:val="001D3CED"/>
    <w:rsid w:val="001D3F30"/>
    <w:rsid w:val="001D3F5D"/>
    <w:rsid w:val="001D4257"/>
    <w:rsid w:val="001D4369"/>
    <w:rsid w:val="001D47A2"/>
    <w:rsid w:val="001D47CC"/>
    <w:rsid w:val="001D480B"/>
    <w:rsid w:val="001D493A"/>
    <w:rsid w:val="001D4C5D"/>
    <w:rsid w:val="001D52D5"/>
    <w:rsid w:val="001D530C"/>
    <w:rsid w:val="001D53A7"/>
    <w:rsid w:val="001D53C7"/>
    <w:rsid w:val="001D5817"/>
    <w:rsid w:val="001D5953"/>
    <w:rsid w:val="001D5D06"/>
    <w:rsid w:val="001D5E2A"/>
    <w:rsid w:val="001D64F0"/>
    <w:rsid w:val="001D650F"/>
    <w:rsid w:val="001D65D1"/>
    <w:rsid w:val="001D663C"/>
    <w:rsid w:val="001D6B8D"/>
    <w:rsid w:val="001D6BD5"/>
    <w:rsid w:val="001D6DA3"/>
    <w:rsid w:val="001D754B"/>
    <w:rsid w:val="001D7578"/>
    <w:rsid w:val="001D7D0A"/>
    <w:rsid w:val="001D7D5A"/>
    <w:rsid w:val="001D7E28"/>
    <w:rsid w:val="001D7E4B"/>
    <w:rsid w:val="001D7E6E"/>
    <w:rsid w:val="001E0580"/>
    <w:rsid w:val="001E0798"/>
    <w:rsid w:val="001E0CBA"/>
    <w:rsid w:val="001E0E6E"/>
    <w:rsid w:val="001E1073"/>
    <w:rsid w:val="001E12B6"/>
    <w:rsid w:val="001E12DD"/>
    <w:rsid w:val="001E16A6"/>
    <w:rsid w:val="001E1D6E"/>
    <w:rsid w:val="001E2472"/>
    <w:rsid w:val="001E2684"/>
    <w:rsid w:val="001E2A52"/>
    <w:rsid w:val="001E2C55"/>
    <w:rsid w:val="001E2E91"/>
    <w:rsid w:val="001E2EC1"/>
    <w:rsid w:val="001E3017"/>
    <w:rsid w:val="001E3500"/>
    <w:rsid w:val="001E4139"/>
    <w:rsid w:val="001E42C9"/>
    <w:rsid w:val="001E47CF"/>
    <w:rsid w:val="001E48F7"/>
    <w:rsid w:val="001E49CE"/>
    <w:rsid w:val="001E4AA5"/>
    <w:rsid w:val="001E4C61"/>
    <w:rsid w:val="001E5614"/>
    <w:rsid w:val="001E5712"/>
    <w:rsid w:val="001E59D4"/>
    <w:rsid w:val="001E5A8A"/>
    <w:rsid w:val="001E5E53"/>
    <w:rsid w:val="001E66D9"/>
    <w:rsid w:val="001E6BAA"/>
    <w:rsid w:val="001E6E0B"/>
    <w:rsid w:val="001E73E8"/>
    <w:rsid w:val="001E7A6F"/>
    <w:rsid w:val="001E7E22"/>
    <w:rsid w:val="001F05EB"/>
    <w:rsid w:val="001F0BDE"/>
    <w:rsid w:val="001F0D39"/>
    <w:rsid w:val="001F108A"/>
    <w:rsid w:val="001F145F"/>
    <w:rsid w:val="001F1651"/>
    <w:rsid w:val="001F18EC"/>
    <w:rsid w:val="001F19E2"/>
    <w:rsid w:val="001F1F9A"/>
    <w:rsid w:val="001F1FC2"/>
    <w:rsid w:val="001F20D7"/>
    <w:rsid w:val="001F24DC"/>
    <w:rsid w:val="001F24DD"/>
    <w:rsid w:val="001F24FC"/>
    <w:rsid w:val="001F2A1E"/>
    <w:rsid w:val="001F2C53"/>
    <w:rsid w:val="001F2CE9"/>
    <w:rsid w:val="001F2F1B"/>
    <w:rsid w:val="001F31AE"/>
    <w:rsid w:val="001F3403"/>
    <w:rsid w:val="001F3583"/>
    <w:rsid w:val="001F382D"/>
    <w:rsid w:val="001F3C10"/>
    <w:rsid w:val="001F3C9A"/>
    <w:rsid w:val="001F3E32"/>
    <w:rsid w:val="001F3F4A"/>
    <w:rsid w:val="001F41F4"/>
    <w:rsid w:val="001F426F"/>
    <w:rsid w:val="001F443F"/>
    <w:rsid w:val="001F4503"/>
    <w:rsid w:val="001F45BB"/>
    <w:rsid w:val="001F495F"/>
    <w:rsid w:val="001F4BC0"/>
    <w:rsid w:val="001F4F62"/>
    <w:rsid w:val="001F4F6A"/>
    <w:rsid w:val="001F5427"/>
    <w:rsid w:val="001F55A1"/>
    <w:rsid w:val="001F5942"/>
    <w:rsid w:val="001F5B07"/>
    <w:rsid w:val="001F5B97"/>
    <w:rsid w:val="001F5C13"/>
    <w:rsid w:val="001F5CD7"/>
    <w:rsid w:val="001F5FD1"/>
    <w:rsid w:val="001F61AA"/>
    <w:rsid w:val="001F6317"/>
    <w:rsid w:val="001F694A"/>
    <w:rsid w:val="001F7021"/>
    <w:rsid w:val="001F727E"/>
    <w:rsid w:val="001F7325"/>
    <w:rsid w:val="001F7516"/>
    <w:rsid w:val="001F7866"/>
    <w:rsid w:val="001F78F1"/>
    <w:rsid w:val="001F7E0F"/>
    <w:rsid w:val="002000F7"/>
    <w:rsid w:val="0020078B"/>
    <w:rsid w:val="00200CA1"/>
    <w:rsid w:val="002012F5"/>
    <w:rsid w:val="00201378"/>
    <w:rsid w:val="0020150D"/>
    <w:rsid w:val="00201930"/>
    <w:rsid w:val="00201B58"/>
    <w:rsid w:val="00202478"/>
    <w:rsid w:val="00202623"/>
    <w:rsid w:val="002029D1"/>
    <w:rsid w:val="00202C66"/>
    <w:rsid w:val="00202EEE"/>
    <w:rsid w:val="00202F3F"/>
    <w:rsid w:val="00203000"/>
    <w:rsid w:val="00203101"/>
    <w:rsid w:val="00203274"/>
    <w:rsid w:val="0020329A"/>
    <w:rsid w:val="002033A7"/>
    <w:rsid w:val="00203500"/>
    <w:rsid w:val="00203C12"/>
    <w:rsid w:val="00203D35"/>
    <w:rsid w:val="0020411D"/>
    <w:rsid w:val="00204473"/>
    <w:rsid w:val="0020470A"/>
    <w:rsid w:val="00205329"/>
    <w:rsid w:val="002055F1"/>
    <w:rsid w:val="002057BA"/>
    <w:rsid w:val="0020595B"/>
    <w:rsid w:val="00205A62"/>
    <w:rsid w:val="00205AA6"/>
    <w:rsid w:val="00206073"/>
    <w:rsid w:val="002061DA"/>
    <w:rsid w:val="002063CD"/>
    <w:rsid w:val="00206838"/>
    <w:rsid w:val="00206D0D"/>
    <w:rsid w:val="00206E51"/>
    <w:rsid w:val="002070FC"/>
    <w:rsid w:val="00207442"/>
    <w:rsid w:val="00207C4B"/>
    <w:rsid w:val="002102DD"/>
    <w:rsid w:val="00210309"/>
    <w:rsid w:val="0021068C"/>
    <w:rsid w:val="0021079D"/>
    <w:rsid w:val="00210CBA"/>
    <w:rsid w:val="00210CED"/>
    <w:rsid w:val="00210D12"/>
    <w:rsid w:val="00210FAA"/>
    <w:rsid w:val="00210FEB"/>
    <w:rsid w:val="00211016"/>
    <w:rsid w:val="0021151D"/>
    <w:rsid w:val="002119BD"/>
    <w:rsid w:val="00211DD4"/>
    <w:rsid w:val="00211EC6"/>
    <w:rsid w:val="0021206E"/>
    <w:rsid w:val="002120E0"/>
    <w:rsid w:val="002129C7"/>
    <w:rsid w:val="002129CD"/>
    <w:rsid w:val="002129EE"/>
    <w:rsid w:val="002129FC"/>
    <w:rsid w:val="00212DFA"/>
    <w:rsid w:val="00212E14"/>
    <w:rsid w:val="00212F7E"/>
    <w:rsid w:val="00213123"/>
    <w:rsid w:val="002135E6"/>
    <w:rsid w:val="002137F2"/>
    <w:rsid w:val="00213A38"/>
    <w:rsid w:val="00213A87"/>
    <w:rsid w:val="0021415E"/>
    <w:rsid w:val="002142AD"/>
    <w:rsid w:val="002145AC"/>
    <w:rsid w:val="002146AB"/>
    <w:rsid w:val="002146FC"/>
    <w:rsid w:val="00214980"/>
    <w:rsid w:val="0021512D"/>
    <w:rsid w:val="00215186"/>
    <w:rsid w:val="002152B5"/>
    <w:rsid w:val="0021542D"/>
    <w:rsid w:val="002155D7"/>
    <w:rsid w:val="00215679"/>
    <w:rsid w:val="0021597C"/>
    <w:rsid w:val="00215E65"/>
    <w:rsid w:val="00215EC2"/>
    <w:rsid w:val="00216046"/>
    <w:rsid w:val="00216236"/>
    <w:rsid w:val="00216323"/>
    <w:rsid w:val="002164C0"/>
    <w:rsid w:val="0021665E"/>
    <w:rsid w:val="002166B8"/>
    <w:rsid w:val="00216718"/>
    <w:rsid w:val="0021684B"/>
    <w:rsid w:val="00216930"/>
    <w:rsid w:val="00216C57"/>
    <w:rsid w:val="00216FCD"/>
    <w:rsid w:val="00216FFB"/>
    <w:rsid w:val="00217B63"/>
    <w:rsid w:val="00217F12"/>
    <w:rsid w:val="0022012F"/>
    <w:rsid w:val="002201CF"/>
    <w:rsid w:val="0022022D"/>
    <w:rsid w:val="002203EA"/>
    <w:rsid w:val="00220482"/>
    <w:rsid w:val="00220635"/>
    <w:rsid w:val="00220783"/>
    <w:rsid w:val="00221257"/>
    <w:rsid w:val="00221367"/>
    <w:rsid w:val="002214D7"/>
    <w:rsid w:val="00221538"/>
    <w:rsid w:val="002216AA"/>
    <w:rsid w:val="0022179F"/>
    <w:rsid w:val="002217CF"/>
    <w:rsid w:val="00221A5D"/>
    <w:rsid w:val="00221CA4"/>
    <w:rsid w:val="0022206D"/>
    <w:rsid w:val="0022252B"/>
    <w:rsid w:val="002227AC"/>
    <w:rsid w:val="002239FA"/>
    <w:rsid w:val="00223CA8"/>
    <w:rsid w:val="002240DE"/>
    <w:rsid w:val="002244CA"/>
    <w:rsid w:val="00224A3B"/>
    <w:rsid w:val="00224C6E"/>
    <w:rsid w:val="00224F46"/>
    <w:rsid w:val="002253D9"/>
    <w:rsid w:val="0022568E"/>
    <w:rsid w:val="00225CC0"/>
    <w:rsid w:val="00225FBF"/>
    <w:rsid w:val="00226213"/>
    <w:rsid w:val="00226353"/>
    <w:rsid w:val="0022648E"/>
    <w:rsid w:val="002265DD"/>
    <w:rsid w:val="00226C67"/>
    <w:rsid w:val="00226DF5"/>
    <w:rsid w:val="002270DD"/>
    <w:rsid w:val="00227241"/>
    <w:rsid w:val="00227333"/>
    <w:rsid w:val="0022744F"/>
    <w:rsid w:val="00227959"/>
    <w:rsid w:val="00227BEB"/>
    <w:rsid w:val="0023051C"/>
    <w:rsid w:val="00231145"/>
    <w:rsid w:val="00231496"/>
    <w:rsid w:val="00231531"/>
    <w:rsid w:val="00231736"/>
    <w:rsid w:val="002317B6"/>
    <w:rsid w:val="00231E72"/>
    <w:rsid w:val="00231FA3"/>
    <w:rsid w:val="00232130"/>
    <w:rsid w:val="00232666"/>
    <w:rsid w:val="0023287B"/>
    <w:rsid w:val="002329AC"/>
    <w:rsid w:val="0023300F"/>
    <w:rsid w:val="00233599"/>
    <w:rsid w:val="002338D3"/>
    <w:rsid w:val="00233B9F"/>
    <w:rsid w:val="00233D18"/>
    <w:rsid w:val="00233E47"/>
    <w:rsid w:val="002342C0"/>
    <w:rsid w:val="002342E1"/>
    <w:rsid w:val="0023479D"/>
    <w:rsid w:val="002348FA"/>
    <w:rsid w:val="00234924"/>
    <w:rsid w:val="002349E9"/>
    <w:rsid w:val="00234C00"/>
    <w:rsid w:val="0023575A"/>
    <w:rsid w:val="00235D17"/>
    <w:rsid w:val="00236BEC"/>
    <w:rsid w:val="00236D7A"/>
    <w:rsid w:val="00237082"/>
    <w:rsid w:val="002372A7"/>
    <w:rsid w:val="002372FD"/>
    <w:rsid w:val="002376A9"/>
    <w:rsid w:val="0023777A"/>
    <w:rsid w:val="00237D41"/>
    <w:rsid w:val="00237D80"/>
    <w:rsid w:val="00237DE1"/>
    <w:rsid w:val="00237EAC"/>
    <w:rsid w:val="002401AA"/>
    <w:rsid w:val="00240F8F"/>
    <w:rsid w:val="002415BD"/>
    <w:rsid w:val="00241C4F"/>
    <w:rsid w:val="0024225E"/>
    <w:rsid w:val="002423EF"/>
    <w:rsid w:val="0024270B"/>
    <w:rsid w:val="002433B3"/>
    <w:rsid w:val="00243543"/>
    <w:rsid w:val="002436C4"/>
    <w:rsid w:val="002437BA"/>
    <w:rsid w:val="00243917"/>
    <w:rsid w:val="00243A3F"/>
    <w:rsid w:val="00243B62"/>
    <w:rsid w:val="00243D66"/>
    <w:rsid w:val="0024429B"/>
    <w:rsid w:val="0024467C"/>
    <w:rsid w:val="00244868"/>
    <w:rsid w:val="002452AA"/>
    <w:rsid w:val="002455A5"/>
    <w:rsid w:val="0024592C"/>
    <w:rsid w:val="00245A4A"/>
    <w:rsid w:val="00245BF6"/>
    <w:rsid w:val="00246013"/>
    <w:rsid w:val="002460E5"/>
    <w:rsid w:val="00246256"/>
    <w:rsid w:val="00246A62"/>
    <w:rsid w:val="00246BBE"/>
    <w:rsid w:val="00247BC5"/>
    <w:rsid w:val="00247BD1"/>
    <w:rsid w:val="00247D15"/>
    <w:rsid w:val="00247F4F"/>
    <w:rsid w:val="00250248"/>
    <w:rsid w:val="00250452"/>
    <w:rsid w:val="002504A6"/>
    <w:rsid w:val="0025056E"/>
    <w:rsid w:val="00250716"/>
    <w:rsid w:val="0025072A"/>
    <w:rsid w:val="002509A5"/>
    <w:rsid w:val="00251342"/>
    <w:rsid w:val="00251A3B"/>
    <w:rsid w:val="00251CFC"/>
    <w:rsid w:val="00251D88"/>
    <w:rsid w:val="00251F47"/>
    <w:rsid w:val="00252119"/>
    <w:rsid w:val="00252783"/>
    <w:rsid w:val="0025292F"/>
    <w:rsid w:val="00252ABD"/>
    <w:rsid w:val="00252B2D"/>
    <w:rsid w:val="002535FD"/>
    <w:rsid w:val="00253665"/>
    <w:rsid w:val="00253E6C"/>
    <w:rsid w:val="00254199"/>
    <w:rsid w:val="002544C4"/>
    <w:rsid w:val="002547FA"/>
    <w:rsid w:val="0025487D"/>
    <w:rsid w:val="00254FE0"/>
    <w:rsid w:val="0025549A"/>
    <w:rsid w:val="002554CD"/>
    <w:rsid w:val="002555EC"/>
    <w:rsid w:val="002558BB"/>
    <w:rsid w:val="002558CD"/>
    <w:rsid w:val="002559AB"/>
    <w:rsid w:val="002560E6"/>
    <w:rsid w:val="00256291"/>
    <w:rsid w:val="00256410"/>
    <w:rsid w:val="002568E9"/>
    <w:rsid w:val="00256E0D"/>
    <w:rsid w:val="00256FFD"/>
    <w:rsid w:val="00257301"/>
    <w:rsid w:val="002576EC"/>
    <w:rsid w:val="002577D1"/>
    <w:rsid w:val="00257B1E"/>
    <w:rsid w:val="00257E24"/>
    <w:rsid w:val="00257FAA"/>
    <w:rsid w:val="00260231"/>
    <w:rsid w:val="0026046D"/>
    <w:rsid w:val="00260569"/>
    <w:rsid w:val="002606B4"/>
    <w:rsid w:val="00260766"/>
    <w:rsid w:val="00260D8C"/>
    <w:rsid w:val="002617CB"/>
    <w:rsid w:val="0026185F"/>
    <w:rsid w:val="00261B85"/>
    <w:rsid w:val="00262A80"/>
    <w:rsid w:val="00262D60"/>
    <w:rsid w:val="002631F5"/>
    <w:rsid w:val="002632C3"/>
    <w:rsid w:val="00263452"/>
    <w:rsid w:val="0026345A"/>
    <w:rsid w:val="0026355B"/>
    <w:rsid w:val="00263839"/>
    <w:rsid w:val="00263B33"/>
    <w:rsid w:val="00264416"/>
    <w:rsid w:val="002645BA"/>
    <w:rsid w:val="002647D4"/>
    <w:rsid w:val="00265027"/>
    <w:rsid w:val="00265207"/>
    <w:rsid w:val="00265BED"/>
    <w:rsid w:val="00265D15"/>
    <w:rsid w:val="00265F23"/>
    <w:rsid w:val="00265FAB"/>
    <w:rsid w:val="00266488"/>
    <w:rsid w:val="002665DA"/>
    <w:rsid w:val="002668E8"/>
    <w:rsid w:val="002669D1"/>
    <w:rsid w:val="00266B7D"/>
    <w:rsid w:val="00267111"/>
    <w:rsid w:val="0026779F"/>
    <w:rsid w:val="00267976"/>
    <w:rsid w:val="00267AE1"/>
    <w:rsid w:val="00267B86"/>
    <w:rsid w:val="00267DE6"/>
    <w:rsid w:val="00267DE7"/>
    <w:rsid w:val="00267E89"/>
    <w:rsid w:val="0027010A"/>
    <w:rsid w:val="0027015E"/>
    <w:rsid w:val="00270254"/>
    <w:rsid w:val="0027055C"/>
    <w:rsid w:val="00270C61"/>
    <w:rsid w:val="00270DEE"/>
    <w:rsid w:val="0027125A"/>
    <w:rsid w:val="0027160D"/>
    <w:rsid w:val="002716DC"/>
    <w:rsid w:val="00271882"/>
    <w:rsid w:val="002718FC"/>
    <w:rsid w:val="00271943"/>
    <w:rsid w:val="00271966"/>
    <w:rsid w:val="00271B04"/>
    <w:rsid w:val="00271DE2"/>
    <w:rsid w:val="00271E2A"/>
    <w:rsid w:val="002726E4"/>
    <w:rsid w:val="00272906"/>
    <w:rsid w:val="00272928"/>
    <w:rsid w:val="0027299C"/>
    <w:rsid w:val="00272A7F"/>
    <w:rsid w:val="00272A94"/>
    <w:rsid w:val="00272B41"/>
    <w:rsid w:val="00272D7F"/>
    <w:rsid w:val="00272D87"/>
    <w:rsid w:val="00273CBB"/>
    <w:rsid w:val="00273D81"/>
    <w:rsid w:val="0027415C"/>
    <w:rsid w:val="0027416D"/>
    <w:rsid w:val="002742E6"/>
    <w:rsid w:val="002743B3"/>
    <w:rsid w:val="0027471B"/>
    <w:rsid w:val="002749EE"/>
    <w:rsid w:val="00275263"/>
    <w:rsid w:val="0027528B"/>
    <w:rsid w:val="002753BD"/>
    <w:rsid w:val="00275665"/>
    <w:rsid w:val="002758F5"/>
    <w:rsid w:val="00275DDE"/>
    <w:rsid w:val="00276094"/>
    <w:rsid w:val="00276251"/>
    <w:rsid w:val="0027629D"/>
    <w:rsid w:val="0027640E"/>
    <w:rsid w:val="00276544"/>
    <w:rsid w:val="00276CE4"/>
    <w:rsid w:val="0027701D"/>
    <w:rsid w:val="00277224"/>
    <w:rsid w:val="00277399"/>
    <w:rsid w:val="0027741D"/>
    <w:rsid w:val="002775B0"/>
    <w:rsid w:val="0027765B"/>
    <w:rsid w:val="00277C58"/>
    <w:rsid w:val="0028000E"/>
    <w:rsid w:val="00280221"/>
    <w:rsid w:val="00280DD1"/>
    <w:rsid w:val="0028151E"/>
    <w:rsid w:val="00282188"/>
    <w:rsid w:val="002828DD"/>
    <w:rsid w:val="00282F94"/>
    <w:rsid w:val="00283270"/>
    <w:rsid w:val="00283315"/>
    <w:rsid w:val="00283672"/>
    <w:rsid w:val="002836BA"/>
    <w:rsid w:val="00283757"/>
    <w:rsid w:val="0028380E"/>
    <w:rsid w:val="00283CEF"/>
    <w:rsid w:val="00283F34"/>
    <w:rsid w:val="00283F81"/>
    <w:rsid w:val="002841E5"/>
    <w:rsid w:val="0028439F"/>
    <w:rsid w:val="00284574"/>
    <w:rsid w:val="00284E3E"/>
    <w:rsid w:val="00285F41"/>
    <w:rsid w:val="00286A49"/>
    <w:rsid w:val="00286B88"/>
    <w:rsid w:val="00286C61"/>
    <w:rsid w:val="002875A6"/>
    <w:rsid w:val="00287C52"/>
    <w:rsid w:val="00287E1A"/>
    <w:rsid w:val="00287F69"/>
    <w:rsid w:val="00290244"/>
    <w:rsid w:val="002907E7"/>
    <w:rsid w:val="0029096B"/>
    <w:rsid w:val="00290CB3"/>
    <w:rsid w:val="00290E53"/>
    <w:rsid w:val="00291175"/>
    <w:rsid w:val="00291380"/>
    <w:rsid w:val="00291EF7"/>
    <w:rsid w:val="00291F89"/>
    <w:rsid w:val="00291FF5"/>
    <w:rsid w:val="0029243F"/>
    <w:rsid w:val="00292C29"/>
    <w:rsid w:val="00293053"/>
    <w:rsid w:val="0029443C"/>
    <w:rsid w:val="002944FA"/>
    <w:rsid w:val="00294670"/>
    <w:rsid w:val="00294872"/>
    <w:rsid w:val="002949CA"/>
    <w:rsid w:val="00294AA5"/>
    <w:rsid w:val="00294E88"/>
    <w:rsid w:val="00294E96"/>
    <w:rsid w:val="00295283"/>
    <w:rsid w:val="002955EA"/>
    <w:rsid w:val="0029574E"/>
    <w:rsid w:val="002958F8"/>
    <w:rsid w:val="00295BB0"/>
    <w:rsid w:val="00296464"/>
    <w:rsid w:val="002965C4"/>
    <w:rsid w:val="00296727"/>
    <w:rsid w:val="00296D4B"/>
    <w:rsid w:val="0029706E"/>
    <w:rsid w:val="00297329"/>
    <w:rsid w:val="00297586"/>
    <w:rsid w:val="002976CA"/>
    <w:rsid w:val="00297904"/>
    <w:rsid w:val="002979BC"/>
    <w:rsid w:val="00297DD0"/>
    <w:rsid w:val="00297EFD"/>
    <w:rsid w:val="00297F7F"/>
    <w:rsid w:val="002A017C"/>
    <w:rsid w:val="002A02CA"/>
    <w:rsid w:val="002A0453"/>
    <w:rsid w:val="002A064C"/>
    <w:rsid w:val="002A09AA"/>
    <w:rsid w:val="002A0B89"/>
    <w:rsid w:val="002A0E62"/>
    <w:rsid w:val="002A1930"/>
    <w:rsid w:val="002A1944"/>
    <w:rsid w:val="002A1D51"/>
    <w:rsid w:val="002A1DB7"/>
    <w:rsid w:val="002A1E8A"/>
    <w:rsid w:val="002A2CB1"/>
    <w:rsid w:val="002A34F7"/>
    <w:rsid w:val="002A3A6D"/>
    <w:rsid w:val="002A3C2E"/>
    <w:rsid w:val="002A3D52"/>
    <w:rsid w:val="002A42F4"/>
    <w:rsid w:val="002A44E3"/>
    <w:rsid w:val="002A4680"/>
    <w:rsid w:val="002A47BB"/>
    <w:rsid w:val="002A4F5E"/>
    <w:rsid w:val="002A5007"/>
    <w:rsid w:val="002A51AA"/>
    <w:rsid w:val="002A52BB"/>
    <w:rsid w:val="002A54ED"/>
    <w:rsid w:val="002A5575"/>
    <w:rsid w:val="002A5649"/>
    <w:rsid w:val="002A571C"/>
    <w:rsid w:val="002A5BB0"/>
    <w:rsid w:val="002A6053"/>
    <w:rsid w:val="002A65AE"/>
    <w:rsid w:val="002A6EFC"/>
    <w:rsid w:val="002A6F3C"/>
    <w:rsid w:val="002A7070"/>
    <w:rsid w:val="002A70C9"/>
    <w:rsid w:val="002A71BB"/>
    <w:rsid w:val="002A7273"/>
    <w:rsid w:val="002A7760"/>
    <w:rsid w:val="002A7D7F"/>
    <w:rsid w:val="002B0497"/>
    <w:rsid w:val="002B04A4"/>
    <w:rsid w:val="002B052F"/>
    <w:rsid w:val="002B06F0"/>
    <w:rsid w:val="002B0801"/>
    <w:rsid w:val="002B08F2"/>
    <w:rsid w:val="002B0C9F"/>
    <w:rsid w:val="002B1062"/>
    <w:rsid w:val="002B138C"/>
    <w:rsid w:val="002B14FE"/>
    <w:rsid w:val="002B1558"/>
    <w:rsid w:val="002B1898"/>
    <w:rsid w:val="002B1A7C"/>
    <w:rsid w:val="002B1D32"/>
    <w:rsid w:val="002B26C1"/>
    <w:rsid w:val="002B27F6"/>
    <w:rsid w:val="002B28F4"/>
    <w:rsid w:val="002B2949"/>
    <w:rsid w:val="002B2D0C"/>
    <w:rsid w:val="002B3263"/>
    <w:rsid w:val="002B367F"/>
    <w:rsid w:val="002B3A55"/>
    <w:rsid w:val="002B3BFE"/>
    <w:rsid w:val="002B401B"/>
    <w:rsid w:val="002B4232"/>
    <w:rsid w:val="002B461A"/>
    <w:rsid w:val="002B4782"/>
    <w:rsid w:val="002B5014"/>
    <w:rsid w:val="002B54C1"/>
    <w:rsid w:val="002B54E2"/>
    <w:rsid w:val="002B54E8"/>
    <w:rsid w:val="002B59F9"/>
    <w:rsid w:val="002B5AE6"/>
    <w:rsid w:val="002B5BA2"/>
    <w:rsid w:val="002B5E81"/>
    <w:rsid w:val="002B5E97"/>
    <w:rsid w:val="002B6169"/>
    <w:rsid w:val="002B6C99"/>
    <w:rsid w:val="002B6E3F"/>
    <w:rsid w:val="002B703B"/>
    <w:rsid w:val="002B713C"/>
    <w:rsid w:val="002B7188"/>
    <w:rsid w:val="002B72BC"/>
    <w:rsid w:val="002B74CF"/>
    <w:rsid w:val="002B79A8"/>
    <w:rsid w:val="002C036F"/>
    <w:rsid w:val="002C047E"/>
    <w:rsid w:val="002C0540"/>
    <w:rsid w:val="002C05C7"/>
    <w:rsid w:val="002C071D"/>
    <w:rsid w:val="002C0821"/>
    <w:rsid w:val="002C09FB"/>
    <w:rsid w:val="002C16D2"/>
    <w:rsid w:val="002C199A"/>
    <w:rsid w:val="002C1A8B"/>
    <w:rsid w:val="002C1B0D"/>
    <w:rsid w:val="002C27B2"/>
    <w:rsid w:val="002C28B0"/>
    <w:rsid w:val="002C2B48"/>
    <w:rsid w:val="002C2D76"/>
    <w:rsid w:val="002C30E3"/>
    <w:rsid w:val="002C320C"/>
    <w:rsid w:val="002C3CE8"/>
    <w:rsid w:val="002C3F5F"/>
    <w:rsid w:val="002C4825"/>
    <w:rsid w:val="002C4CE2"/>
    <w:rsid w:val="002C4E08"/>
    <w:rsid w:val="002C507D"/>
    <w:rsid w:val="002C5672"/>
    <w:rsid w:val="002C5DA5"/>
    <w:rsid w:val="002C5DC9"/>
    <w:rsid w:val="002C617A"/>
    <w:rsid w:val="002C622D"/>
    <w:rsid w:val="002C6390"/>
    <w:rsid w:val="002C6994"/>
    <w:rsid w:val="002C6999"/>
    <w:rsid w:val="002C73AC"/>
    <w:rsid w:val="002C73F3"/>
    <w:rsid w:val="002C7960"/>
    <w:rsid w:val="002C7A04"/>
    <w:rsid w:val="002C7A67"/>
    <w:rsid w:val="002C7C64"/>
    <w:rsid w:val="002C7D29"/>
    <w:rsid w:val="002C7EF9"/>
    <w:rsid w:val="002D01C1"/>
    <w:rsid w:val="002D023C"/>
    <w:rsid w:val="002D0783"/>
    <w:rsid w:val="002D097A"/>
    <w:rsid w:val="002D0B9B"/>
    <w:rsid w:val="002D0E57"/>
    <w:rsid w:val="002D0EEA"/>
    <w:rsid w:val="002D12BA"/>
    <w:rsid w:val="002D14B8"/>
    <w:rsid w:val="002D16AE"/>
    <w:rsid w:val="002D17EC"/>
    <w:rsid w:val="002D192B"/>
    <w:rsid w:val="002D1F08"/>
    <w:rsid w:val="002D1F65"/>
    <w:rsid w:val="002D2844"/>
    <w:rsid w:val="002D2BAF"/>
    <w:rsid w:val="002D307B"/>
    <w:rsid w:val="002D366A"/>
    <w:rsid w:val="002D371F"/>
    <w:rsid w:val="002D3A27"/>
    <w:rsid w:val="002D3B17"/>
    <w:rsid w:val="002D3B4A"/>
    <w:rsid w:val="002D3BE6"/>
    <w:rsid w:val="002D3CB3"/>
    <w:rsid w:val="002D46A2"/>
    <w:rsid w:val="002D476E"/>
    <w:rsid w:val="002D47DB"/>
    <w:rsid w:val="002D49A3"/>
    <w:rsid w:val="002D4A7B"/>
    <w:rsid w:val="002D4BA6"/>
    <w:rsid w:val="002D4CBD"/>
    <w:rsid w:val="002D4D0E"/>
    <w:rsid w:val="002D503F"/>
    <w:rsid w:val="002D534A"/>
    <w:rsid w:val="002D54E5"/>
    <w:rsid w:val="002D56DF"/>
    <w:rsid w:val="002D5907"/>
    <w:rsid w:val="002D5980"/>
    <w:rsid w:val="002D5CA2"/>
    <w:rsid w:val="002D62B6"/>
    <w:rsid w:val="002D668F"/>
    <w:rsid w:val="002D6E06"/>
    <w:rsid w:val="002D6E52"/>
    <w:rsid w:val="002D7532"/>
    <w:rsid w:val="002D792F"/>
    <w:rsid w:val="002D7B45"/>
    <w:rsid w:val="002D7D8F"/>
    <w:rsid w:val="002D7E8B"/>
    <w:rsid w:val="002E0170"/>
    <w:rsid w:val="002E1019"/>
    <w:rsid w:val="002E11EE"/>
    <w:rsid w:val="002E192E"/>
    <w:rsid w:val="002E193C"/>
    <w:rsid w:val="002E1BC5"/>
    <w:rsid w:val="002E23B9"/>
    <w:rsid w:val="002E2739"/>
    <w:rsid w:val="002E30AB"/>
    <w:rsid w:val="002E37F9"/>
    <w:rsid w:val="002E3862"/>
    <w:rsid w:val="002E3A6C"/>
    <w:rsid w:val="002E3C41"/>
    <w:rsid w:val="002E3DEC"/>
    <w:rsid w:val="002E41EB"/>
    <w:rsid w:val="002E47A2"/>
    <w:rsid w:val="002E4C34"/>
    <w:rsid w:val="002E4F84"/>
    <w:rsid w:val="002E5540"/>
    <w:rsid w:val="002E56B5"/>
    <w:rsid w:val="002E59DA"/>
    <w:rsid w:val="002E59DB"/>
    <w:rsid w:val="002E59DF"/>
    <w:rsid w:val="002E5A5B"/>
    <w:rsid w:val="002E60E1"/>
    <w:rsid w:val="002E694D"/>
    <w:rsid w:val="002E6D30"/>
    <w:rsid w:val="002E7442"/>
    <w:rsid w:val="002E75C7"/>
    <w:rsid w:val="002E7910"/>
    <w:rsid w:val="002E7965"/>
    <w:rsid w:val="002E7C2A"/>
    <w:rsid w:val="002E7E5B"/>
    <w:rsid w:val="002F0707"/>
    <w:rsid w:val="002F0BC9"/>
    <w:rsid w:val="002F0EF9"/>
    <w:rsid w:val="002F10F5"/>
    <w:rsid w:val="002F1151"/>
    <w:rsid w:val="002F1186"/>
    <w:rsid w:val="002F16B1"/>
    <w:rsid w:val="002F1B58"/>
    <w:rsid w:val="002F1B93"/>
    <w:rsid w:val="002F2237"/>
    <w:rsid w:val="002F223E"/>
    <w:rsid w:val="002F29B4"/>
    <w:rsid w:val="002F2B86"/>
    <w:rsid w:val="002F2BF3"/>
    <w:rsid w:val="002F2EF0"/>
    <w:rsid w:val="002F313A"/>
    <w:rsid w:val="002F3485"/>
    <w:rsid w:val="002F3558"/>
    <w:rsid w:val="002F3912"/>
    <w:rsid w:val="002F3DC3"/>
    <w:rsid w:val="002F456F"/>
    <w:rsid w:val="002F470D"/>
    <w:rsid w:val="002F4A6B"/>
    <w:rsid w:val="002F4E0B"/>
    <w:rsid w:val="002F57D8"/>
    <w:rsid w:val="002F5A3D"/>
    <w:rsid w:val="002F5E45"/>
    <w:rsid w:val="002F5F18"/>
    <w:rsid w:val="002F5F4E"/>
    <w:rsid w:val="002F627D"/>
    <w:rsid w:val="002F6390"/>
    <w:rsid w:val="002F6C30"/>
    <w:rsid w:val="002F6E50"/>
    <w:rsid w:val="002F6FCE"/>
    <w:rsid w:val="002F701C"/>
    <w:rsid w:val="002F750F"/>
    <w:rsid w:val="002F7560"/>
    <w:rsid w:val="002F77CE"/>
    <w:rsid w:val="002F77E5"/>
    <w:rsid w:val="002F78AA"/>
    <w:rsid w:val="00300013"/>
    <w:rsid w:val="0030092A"/>
    <w:rsid w:val="00300975"/>
    <w:rsid w:val="00300985"/>
    <w:rsid w:val="00301434"/>
    <w:rsid w:val="00301686"/>
    <w:rsid w:val="00301A69"/>
    <w:rsid w:val="00301EDF"/>
    <w:rsid w:val="00302A03"/>
    <w:rsid w:val="00302BAD"/>
    <w:rsid w:val="00302D6A"/>
    <w:rsid w:val="00302E48"/>
    <w:rsid w:val="00302EC7"/>
    <w:rsid w:val="0030306B"/>
    <w:rsid w:val="00303238"/>
    <w:rsid w:val="00303374"/>
    <w:rsid w:val="0030352B"/>
    <w:rsid w:val="00303C4F"/>
    <w:rsid w:val="00303D39"/>
    <w:rsid w:val="00303FBC"/>
    <w:rsid w:val="003045F3"/>
    <w:rsid w:val="0030497F"/>
    <w:rsid w:val="00304B87"/>
    <w:rsid w:val="0030503E"/>
    <w:rsid w:val="003051BA"/>
    <w:rsid w:val="00305262"/>
    <w:rsid w:val="003058E8"/>
    <w:rsid w:val="00305B3E"/>
    <w:rsid w:val="00305CF3"/>
    <w:rsid w:val="00305FE1"/>
    <w:rsid w:val="00306024"/>
    <w:rsid w:val="003060AB"/>
    <w:rsid w:val="00306248"/>
    <w:rsid w:val="003063C4"/>
    <w:rsid w:val="0030657E"/>
    <w:rsid w:val="00306640"/>
    <w:rsid w:val="003066E9"/>
    <w:rsid w:val="0030709E"/>
    <w:rsid w:val="0030711A"/>
    <w:rsid w:val="00307581"/>
    <w:rsid w:val="00307BC2"/>
    <w:rsid w:val="00307C13"/>
    <w:rsid w:val="00307D39"/>
    <w:rsid w:val="00310199"/>
    <w:rsid w:val="003101AE"/>
    <w:rsid w:val="003101DE"/>
    <w:rsid w:val="003102A0"/>
    <w:rsid w:val="003106B2"/>
    <w:rsid w:val="00311050"/>
    <w:rsid w:val="003110B7"/>
    <w:rsid w:val="003113DB"/>
    <w:rsid w:val="00311BBE"/>
    <w:rsid w:val="00311C4C"/>
    <w:rsid w:val="00311DBD"/>
    <w:rsid w:val="00311E26"/>
    <w:rsid w:val="003122E0"/>
    <w:rsid w:val="00312681"/>
    <w:rsid w:val="003128C7"/>
    <w:rsid w:val="00312A4A"/>
    <w:rsid w:val="003130AD"/>
    <w:rsid w:val="0031336F"/>
    <w:rsid w:val="0031337A"/>
    <w:rsid w:val="00313860"/>
    <w:rsid w:val="00314004"/>
    <w:rsid w:val="00314490"/>
    <w:rsid w:val="003144B2"/>
    <w:rsid w:val="00314B8B"/>
    <w:rsid w:val="00314DE1"/>
    <w:rsid w:val="00314E30"/>
    <w:rsid w:val="00314FBC"/>
    <w:rsid w:val="00315123"/>
    <w:rsid w:val="00315143"/>
    <w:rsid w:val="003154F0"/>
    <w:rsid w:val="0031553E"/>
    <w:rsid w:val="00315C17"/>
    <w:rsid w:val="00315C3A"/>
    <w:rsid w:val="00315D3C"/>
    <w:rsid w:val="00315F2E"/>
    <w:rsid w:val="00316541"/>
    <w:rsid w:val="00316638"/>
    <w:rsid w:val="003168C1"/>
    <w:rsid w:val="00316F08"/>
    <w:rsid w:val="00316FB8"/>
    <w:rsid w:val="0031728C"/>
    <w:rsid w:val="003173C9"/>
    <w:rsid w:val="003178BF"/>
    <w:rsid w:val="00317F8C"/>
    <w:rsid w:val="0032033B"/>
    <w:rsid w:val="003203C6"/>
    <w:rsid w:val="00320AC7"/>
    <w:rsid w:val="00320BF1"/>
    <w:rsid w:val="00320E85"/>
    <w:rsid w:val="0032129E"/>
    <w:rsid w:val="0032148F"/>
    <w:rsid w:val="0032151F"/>
    <w:rsid w:val="00321C30"/>
    <w:rsid w:val="00322365"/>
    <w:rsid w:val="003225C7"/>
    <w:rsid w:val="003226AE"/>
    <w:rsid w:val="003227A2"/>
    <w:rsid w:val="00322ACA"/>
    <w:rsid w:val="00322CD1"/>
    <w:rsid w:val="00322F7E"/>
    <w:rsid w:val="00322FA5"/>
    <w:rsid w:val="00323320"/>
    <w:rsid w:val="003234A5"/>
    <w:rsid w:val="0032355D"/>
    <w:rsid w:val="00323B0C"/>
    <w:rsid w:val="00323C87"/>
    <w:rsid w:val="00323E0C"/>
    <w:rsid w:val="00324023"/>
    <w:rsid w:val="003242A8"/>
    <w:rsid w:val="00324507"/>
    <w:rsid w:val="00324732"/>
    <w:rsid w:val="00324B9D"/>
    <w:rsid w:val="00324C18"/>
    <w:rsid w:val="00324C38"/>
    <w:rsid w:val="00324E23"/>
    <w:rsid w:val="0032506D"/>
    <w:rsid w:val="00325179"/>
    <w:rsid w:val="003256AA"/>
    <w:rsid w:val="00325729"/>
    <w:rsid w:val="00325730"/>
    <w:rsid w:val="00325823"/>
    <w:rsid w:val="003258A2"/>
    <w:rsid w:val="00325C5F"/>
    <w:rsid w:val="00325DB1"/>
    <w:rsid w:val="00326075"/>
    <w:rsid w:val="00326640"/>
    <w:rsid w:val="0032667B"/>
    <w:rsid w:val="00326843"/>
    <w:rsid w:val="00326866"/>
    <w:rsid w:val="0032688D"/>
    <w:rsid w:val="00326FBA"/>
    <w:rsid w:val="00327323"/>
    <w:rsid w:val="003275DF"/>
    <w:rsid w:val="00327982"/>
    <w:rsid w:val="00327AC3"/>
    <w:rsid w:val="00327B2C"/>
    <w:rsid w:val="00327CE7"/>
    <w:rsid w:val="003303B8"/>
    <w:rsid w:val="00331236"/>
    <w:rsid w:val="00331258"/>
    <w:rsid w:val="00331333"/>
    <w:rsid w:val="0033134C"/>
    <w:rsid w:val="0033160A"/>
    <w:rsid w:val="00331E41"/>
    <w:rsid w:val="003323B2"/>
    <w:rsid w:val="0033242E"/>
    <w:rsid w:val="00332983"/>
    <w:rsid w:val="00332F5A"/>
    <w:rsid w:val="00333227"/>
    <w:rsid w:val="00333881"/>
    <w:rsid w:val="003339D4"/>
    <w:rsid w:val="00333A9D"/>
    <w:rsid w:val="00334514"/>
    <w:rsid w:val="003345B0"/>
    <w:rsid w:val="0033477A"/>
    <w:rsid w:val="00334E50"/>
    <w:rsid w:val="0033504B"/>
    <w:rsid w:val="0033527E"/>
    <w:rsid w:val="003355DC"/>
    <w:rsid w:val="00335843"/>
    <w:rsid w:val="00335DA4"/>
    <w:rsid w:val="00335DAD"/>
    <w:rsid w:val="00335E1B"/>
    <w:rsid w:val="00336331"/>
    <w:rsid w:val="0033648E"/>
    <w:rsid w:val="00336654"/>
    <w:rsid w:val="00336F01"/>
    <w:rsid w:val="003370A1"/>
    <w:rsid w:val="003371FE"/>
    <w:rsid w:val="003374D4"/>
    <w:rsid w:val="00337654"/>
    <w:rsid w:val="00337696"/>
    <w:rsid w:val="003379BF"/>
    <w:rsid w:val="00337C06"/>
    <w:rsid w:val="00337CFC"/>
    <w:rsid w:val="00337F2B"/>
    <w:rsid w:val="00340512"/>
    <w:rsid w:val="00340630"/>
    <w:rsid w:val="003410FE"/>
    <w:rsid w:val="0034167D"/>
    <w:rsid w:val="0034174A"/>
    <w:rsid w:val="00341AA9"/>
    <w:rsid w:val="00341AB7"/>
    <w:rsid w:val="00341D7F"/>
    <w:rsid w:val="0034279B"/>
    <w:rsid w:val="00342890"/>
    <w:rsid w:val="0034289F"/>
    <w:rsid w:val="00342CDB"/>
    <w:rsid w:val="003431C1"/>
    <w:rsid w:val="00343653"/>
    <w:rsid w:val="00343754"/>
    <w:rsid w:val="003437E9"/>
    <w:rsid w:val="00343854"/>
    <w:rsid w:val="003439DA"/>
    <w:rsid w:val="00343B09"/>
    <w:rsid w:val="00343B52"/>
    <w:rsid w:val="0034428A"/>
    <w:rsid w:val="00344301"/>
    <w:rsid w:val="00344354"/>
    <w:rsid w:val="00344480"/>
    <w:rsid w:val="003449F8"/>
    <w:rsid w:val="00344C5A"/>
    <w:rsid w:val="00344DC1"/>
    <w:rsid w:val="00344F6B"/>
    <w:rsid w:val="00344F98"/>
    <w:rsid w:val="00344FFB"/>
    <w:rsid w:val="0034537D"/>
    <w:rsid w:val="00345959"/>
    <w:rsid w:val="00345B10"/>
    <w:rsid w:val="00345D5D"/>
    <w:rsid w:val="00345DBB"/>
    <w:rsid w:val="00345E15"/>
    <w:rsid w:val="00346233"/>
    <w:rsid w:val="003466DC"/>
    <w:rsid w:val="00346B46"/>
    <w:rsid w:val="00346C3E"/>
    <w:rsid w:val="003471C8"/>
    <w:rsid w:val="00347EBE"/>
    <w:rsid w:val="00350048"/>
    <w:rsid w:val="00350324"/>
    <w:rsid w:val="00350451"/>
    <w:rsid w:val="0035065E"/>
    <w:rsid w:val="0035066E"/>
    <w:rsid w:val="0035091C"/>
    <w:rsid w:val="0035098A"/>
    <w:rsid w:val="00350ACC"/>
    <w:rsid w:val="00350E8C"/>
    <w:rsid w:val="0035171B"/>
    <w:rsid w:val="00351F20"/>
    <w:rsid w:val="0035230F"/>
    <w:rsid w:val="003528C6"/>
    <w:rsid w:val="00352AFF"/>
    <w:rsid w:val="00352DC3"/>
    <w:rsid w:val="00352F6A"/>
    <w:rsid w:val="00352FD0"/>
    <w:rsid w:val="00353176"/>
    <w:rsid w:val="00353418"/>
    <w:rsid w:val="00353665"/>
    <w:rsid w:val="00353F54"/>
    <w:rsid w:val="003543E5"/>
    <w:rsid w:val="00354420"/>
    <w:rsid w:val="003544CC"/>
    <w:rsid w:val="00354880"/>
    <w:rsid w:val="003548DF"/>
    <w:rsid w:val="00354A44"/>
    <w:rsid w:val="00354E16"/>
    <w:rsid w:val="00354FD5"/>
    <w:rsid w:val="00355008"/>
    <w:rsid w:val="0035511D"/>
    <w:rsid w:val="00355383"/>
    <w:rsid w:val="003555A0"/>
    <w:rsid w:val="003555FF"/>
    <w:rsid w:val="00356031"/>
    <w:rsid w:val="00356226"/>
    <w:rsid w:val="003562B5"/>
    <w:rsid w:val="003566AC"/>
    <w:rsid w:val="0035676F"/>
    <w:rsid w:val="00356924"/>
    <w:rsid w:val="00356D16"/>
    <w:rsid w:val="00356EDC"/>
    <w:rsid w:val="003570D4"/>
    <w:rsid w:val="0035745A"/>
    <w:rsid w:val="0035770C"/>
    <w:rsid w:val="003578DE"/>
    <w:rsid w:val="00360448"/>
    <w:rsid w:val="0036052B"/>
    <w:rsid w:val="00360647"/>
    <w:rsid w:val="003607D2"/>
    <w:rsid w:val="00360B6D"/>
    <w:rsid w:val="00360D51"/>
    <w:rsid w:val="00360F92"/>
    <w:rsid w:val="00361660"/>
    <w:rsid w:val="00361808"/>
    <w:rsid w:val="00361B40"/>
    <w:rsid w:val="00361C65"/>
    <w:rsid w:val="00361F4A"/>
    <w:rsid w:val="00362292"/>
    <w:rsid w:val="00362400"/>
    <w:rsid w:val="003628A7"/>
    <w:rsid w:val="0036290E"/>
    <w:rsid w:val="00362D3A"/>
    <w:rsid w:val="00363246"/>
    <w:rsid w:val="00363A75"/>
    <w:rsid w:val="00363AE9"/>
    <w:rsid w:val="00363D7C"/>
    <w:rsid w:val="00363E33"/>
    <w:rsid w:val="00364333"/>
    <w:rsid w:val="0036468F"/>
    <w:rsid w:val="00364775"/>
    <w:rsid w:val="00364865"/>
    <w:rsid w:val="00364FCF"/>
    <w:rsid w:val="00365077"/>
    <w:rsid w:val="00365116"/>
    <w:rsid w:val="00365326"/>
    <w:rsid w:val="003653AF"/>
    <w:rsid w:val="003653D7"/>
    <w:rsid w:val="00365438"/>
    <w:rsid w:val="003656F7"/>
    <w:rsid w:val="00365991"/>
    <w:rsid w:val="00365A55"/>
    <w:rsid w:val="00366444"/>
    <w:rsid w:val="00366644"/>
    <w:rsid w:val="003666F4"/>
    <w:rsid w:val="00366B50"/>
    <w:rsid w:val="00367086"/>
    <w:rsid w:val="003674A0"/>
    <w:rsid w:val="003674BC"/>
    <w:rsid w:val="0036758B"/>
    <w:rsid w:val="00367A36"/>
    <w:rsid w:val="00367E0F"/>
    <w:rsid w:val="00370260"/>
    <w:rsid w:val="0037087C"/>
    <w:rsid w:val="00370886"/>
    <w:rsid w:val="0037097B"/>
    <w:rsid w:val="00371123"/>
    <w:rsid w:val="0037119E"/>
    <w:rsid w:val="00371291"/>
    <w:rsid w:val="00371747"/>
    <w:rsid w:val="003718B0"/>
    <w:rsid w:val="003719C1"/>
    <w:rsid w:val="00371AB3"/>
    <w:rsid w:val="00371B70"/>
    <w:rsid w:val="00372050"/>
    <w:rsid w:val="00372052"/>
    <w:rsid w:val="0037294B"/>
    <w:rsid w:val="003729B1"/>
    <w:rsid w:val="00372A90"/>
    <w:rsid w:val="00372BE2"/>
    <w:rsid w:val="00372CCA"/>
    <w:rsid w:val="003732AF"/>
    <w:rsid w:val="003735F9"/>
    <w:rsid w:val="003736A1"/>
    <w:rsid w:val="00373E91"/>
    <w:rsid w:val="00373FA6"/>
    <w:rsid w:val="00374147"/>
    <w:rsid w:val="003742C2"/>
    <w:rsid w:val="003743D9"/>
    <w:rsid w:val="0037484E"/>
    <w:rsid w:val="003748A2"/>
    <w:rsid w:val="00374957"/>
    <w:rsid w:val="003749E3"/>
    <w:rsid w:val="00374C6B"/>
    <w:rsid w:val="00374CC1"/>
    <w:rsid w:val="003753E4"/>
    <w:rsid w:val="003753F5"/>
    <w:rsid w:val="0037551E"/>
    <w:rsid w:val="00375D60"/>
    <w:rsid w:val="00375E48"/>
    <w:rsid w:val="003760D7"/>
    <w:rsid w:val="003766A3"/>
    <w:rsid w:val="00376A3B"/>
    <w:rsid w:val="003770B6"/>
    <w:rsid w:val="00377116"/>
    <w:rsid w:val="00377390"/>
    <w:rsid w:val="003773FF"/>
    <w:rsid w:val="00377A54"/>
    <w:rsid w:val="00377A80"/>
    <w:rsid w:val="00377A82"/>
    <w:rsid w:val="003801C7"/>
    <w:rsid w:val="00380243"/>
    <w:rsid w:val="00380E3E"/>
    <w:rsid w:val="00381266"/>
    <w:rsid w:val="003814F4"/>
    <w:rsid w:val="003815DB"/>
    <w:rsid w:val="00381893"/>
    <w:rsid w:val="00381F49"/>
    <w:rsid w:val="0038224A"/>
    <w:rsid w:val="003826DA"/>
    <w:rsid w:val="00382C16"/>
    <w:rsid w:val="00382DF0"/>
    <w:rsid w:val="00382E61"/>
    <w:rsid w:val="003831C4"/>
    <w:rsid w:val="003839B4"/>
    <w:rsid w:val="00383A02"/>
    <w:rsid w:val="00383A1A"/>
    <w:rsid w:val="00383FD1"/>
    <w:rsid w:val="003844DA"/>
    <w:rsid w:val="00384A60"/>
    <w:rsid w:val="00385197"/>
    <w:rsid w:val="003854FA"/>
    <w:rsid w:val="003857ED"/>
    <w:rsid w:val="00385AAF"/>
    <w:rsid w:val="00385FC7"/>
    <w:rsid w:val="0038612C"/>
    <w:rsid w:val="003862F0"/>
    <w:rsid w:val="00386313"/>
    <w:rsid w:val="00387596"/>
    <w:rsid w:val="003876A6"/>
    <w:rsid w:val="003879CC"/>
    <w:rsid w:val="00387A24"/>
    <w:rsid w:val="00387B72"/>
    <w:rsid w:val="00387E57"/>
    <w:rsid w:val="00387E66"/>
    <w:rsid w:val="00387E83"/>
    <w:rsid w:val="003900D3"/>
    <w:rsid w:val="003900FB"/>
    <w:rsid w:val="00390C98"/>
    <w:rsid w:val="00390F77"/>
    <w:rsid w:val="00390FC9"/>
    <w:rsid w:val="003912D1"/>
    <w:rsid w:val="00391749"/>
    <w:rsid w:val="00391A1D"/>
    <w:rsid w:val="00391B88"/>
    <w:rsid w:val="00391DA8"/>
    <w:rsid w:val="003924E5"/>
    <w:rsid w:val="003926DF"/>
    <w:rsid w:val="003928CA"/>
    <w:rsid w:val="003929E2"/>
    <w:rsid w:val="00392ACA"/>
    <w:rsid w:val="00392B29"/>
    <w:rsid w:val="00392BB5"/>
    <w:rsid w:val="00392CAC"/>
    <w:rsid w:val="00392CC9"/>
    <w:rsid w:val="00393185"/>
    <w:rsid w:val="00393B01"/>
    <w:rsid w:val="00393D0C"/>
    <w:rsid w:val="00393EBB"/>
    <w:rsid w:val="00394143"/>
    <w:rsid w:val="003941F1"/>
    <w:rsid w:val="003942CB"/>
    <w:rsid w:val="0039498C"/>
    <w:rsid w:val="00394C68"/>
    <w:rsid w:val="003952ED"/>
    <w:rsid w:val="0039570D"/>
    <w:rsid w:val="00396071"/>
    <w:rsid w:val="003961C3"/>
    <w:rsid w:val="003963C4"/>
    <w:rsid w:val="00396457"/>
    <w:rsid w:val="0039658E"/>
    <w:rsid w:val="00396672"/>
    <w:rsid w:val="003968E2"/>
    <w:rsid w:val="003968F7"/>
    <w:rsid w:val="00396D5D"/>
    <w:rsid w:val="00396E60"/>
    <w:rsid w:val="00396E84"/>
    <w:rsid w:val="00397267"/>
    <w:rsid w:val="0039732F"/>
    <w:rsid w:val="003973A4"/>
    <w:rsid w:val="003977E6"/>
    <w:rsid w:val="0039798F"/>
    <w:rsid w:val="00397B11"/>
    <w:rsid w:val="00397C0F"/>
    <w:rsid w:val="00397D25"/>
    <w:rsid w:val="003A0344"/>
    <w:rsid w:val="003A076E"/>
    <w:rsid w:val="003A0806"/>
    <w:rsid w:val="003A0922"/>
    <w:rsid w:val="003A0B1F"/>
    <w:rsid w:val="003A0B3F"/>
    <w:rsid w:val="003A1125"/>
    <w:rsid w:val="003A124F"/>
    <w:rsid w:val="003A1354"/>
    <w:rsid w:val="003A1935"/>
    <w:rsid w:val="003A19A7"/>
    <w:rsid w:val="003A1A9B"/>
    <w:rsid w:val="003A1CBC"/>
    <w:rsid w:val="003A1DD4"/>
    <w:rsid w:val="003A1EA9"/>
    <w:rsid w:val="003A2011"/>
    <w:rsid w:val="003A2A39"/>
    <w:rsid w:val="003A2B91"/>
    <w:rsid w:val="003A2BCA"/>
    <w:rsid w:val="003A2DA1"/>
    <w:rsid w:val="003A2F28"/>
    <w:rsid w:val="003A2FC8"/>
    <w:rsid w:val="003A343D"/>
    <w:rsid w:val="003A34B2"/>
    <w:rsid w:val="003A34C9"/>
    <w:rsid w:val="003A3634"/>
    <w:rsid w:val="003A3981"/>
    <w:rsid w:val="003A3AB7"/>
    <w:rsid w:val="003A3BB8"/>
    <w:rsid w:val="003A3F7F"/>
    <w:rsid w:val="003A4138"/>
    <w:rsid w:val="003A4B23"/>
    <w:rsid w:val="003A4B73"/>
    <w:rsid w:val="003A52AC"/>
    <w:rsid w:val="003A5856"/>
    <w:rsid w:val="003A5AA8"/>
    <w:rsid w:val="003A5AD8"/>
    <w:rsid w:val="003A5B1E"/>
    <w:rsid w:val="003A5D11"/>
    <w:rsid w:val="003A63BE"/>
    <w:rsid w:val="003A64A3"/>
    <w:rsid w:val="003A6C1B"/>
    <w:rsid w:val="003A6CB6"/>
    <w:rsid w:val="003A706E"/>
    <w:rsid w:val="003A726F"/>
    <w:rsid w:val="003A7415"/>
    <w:rsid w:val="003A746A"/>
    <w:rsid w:val="003A7666"/>
    <w:rsid w:val="003A76F4"/>
    <w:rsid w:val="003A7909"/>
    <w:rsid w:val="003A7CD9"/>
    <w:rsid w:val="003B00B5"/>
    <w:rsid w:val="003B0328"/>
    <w:rsid w:val="003B068B"/>
    <w:rsid w:val="003B0B1D"/>
    <w:rsid w:val="003B0C92"/>
    <w:rsid w:val="003B0FAD"/>
    <w:rsid w:val="003B10C6"/>
    <w:rsid w:val="003B1946"/>
    <w:rsid w:val="003B1A22"/>
    <w:rsid w:val="003B1D12"/>
    <w:rsid w:val="003B1F80"/>
    <w:rsid w:val="003B21AE"/>
    <w:rsid w:val="003B24C9"/>
    <w:rsid w:val="003B2605"/>
    <w:rsid w:val="003B284E"/>
    <w:rsid w:val="003B2CEF"/>
    <w:rsid w:val="003B340E"/>
    <w:rsid w:val="003B3526"/>
    <w:rsid w:val="003B354B"/>
    <w:rsid w:val="003B3768"/>
    <w:rsid w:val="003B3DCD"/>
    <w:rsid w:val="003B414A"/>
    <w:rsid w:val="003B4B43"/>
    <w:rsid w:val="003B4CE9"/>
    <w:rsid w:val="003B4D09"/>
    <w:rsid w:val="003B4E33"/>
    <w:rsid w:val="003B513B"/>
    <w:rsid w:val="003B5284"/>
    <w:rsid w:val="003B5295"/>
    <w:rsid w:val="003B5340"/>
    <w:rsid w:val="003B5C3A"/>
    <w:rsid w:val="003B64A5"/>
    <w:rsid w:val="003B64EB"/>
    <w:rsid w:val="003B64F6"/>
    <w:rsid w:val="003B673F"/>
    <w:rsid w:val="003B6A39"/>
    <w:rsid w:val="003B6AD5"/>
    <w:rsid w:val="003B6BD2"/>
    <w:rsid w:val="003B6D10"/>
    <w:rsid w:val="003B6D5C"/>
    <w:rsid w:val="003B6EEA"/>
    <w:rsid w:val="003B71D2"/>
    <w:rsid w:val="003B73C7"/>
    <w:rsid w:val="003B751D"/>
    <w:rsid w:val="003B77B6"/>
    <w:rsid w:val="003B79C0"/>
    <w:rsid w:val="003B7C07"/>
    <w:rsid w:val="003B7C76"/>
    <w:rsid w:val="003B7C84"/>
    <w:rsid w:val="003C0284"/>
    <w:rsid w:val="003C0416"/>
    <w:rsid w:val="003C0424"/>
    <w:rsid w:val="003C119D"/>
    <w:rsid w:val="003C1217"/>
    <w:rsid w:val="003C1475"/>
    <w:rsid w:val="003C173B"/>
    <w:rsid w:val="003C1A2B"/>
    <w:rsid w:val="003C1BA4"/>
    <w:rsid w:val="003C1D47"/>
    <w:rsid w:val="003C1E52"/>
    <w:rsid w:val="003C1EB6"/>
    <w:rsid w:val="003C238C"/>
    <w:rsid w:val="003C23CB"/>
    <w:rsid w:val="003C25BA"/>
    <w:rsid w:val="003C260F"/>
    <w:rsid w:val="003C2688"/>
    <w:rsid w:val="003C26ED"/>
    <w:rsid w:val="003C2E23"/>
    <w:rsid w:val="003C2E29"/>
    <w:rsid w:val="003C2F43"/>
    <w:rsid w:val="003C31C3"/>
    <w:rsid w:val="003C346D"/>
    <w:rsid w:val="003C34D0"/>
    <w:rsid w:val="003C3740"/>
    <w:rsid w:val="003C3832"/>
    <w:rsid w:val="003C3929"/>
    <w:rsid w:val="003C3DD7"/>
    <w:rsid w:val="003C3EED"/>
    <w:rsid w:val="003C413A"/>
    <w:rsid w:val="003C42A7"/>
    <w:rsid w:val="003C4929"/>
    <w:rsid w:val="003C4D86"/>
    <w:rsid w:val="003C4FCD"/>
    <w:rsid w:val="003C508A"/>
    <w:rsid w:val="003C5B67"/>
    <w:rsid w:val="003C5C85"/>
    <w:rsid w:val="003C5E03"/>
    <w:rsid w:val="003C5FEF"/>
    <w:rsid w:val="003C6080"/>
    <w:rsid w:val="003C6473"/>
    <w:rsid w:val="003C64DB"/>
    <w:rsid w:val="003C6540"/>
    <w:rsid w:val="003C66F7"/>
    <w:rsid w:val="003C6724"/>
    <w:rsid w:val="003C6800"/>
    <w:rsid w:val="003C6ACD"/>
    <w:rsid w:val="003C6B2B"/>
    <w:rsid w:val="003C6C2E"/>
    <w:rsid w:val="003C7589"/>
    <w:rsid w:val="003C75A0"/>
    <w:rsid w:val="003C7E7C"/>
    <w:rsid w:val="003C7F9B"/>
    <w:rsid w:val="003D0745"/>
    <w:rsid w:val="003D0F40"/>
    <w:rsid w:val="003D1390"/>
    <w:rsid w:val="003D158C"/>
    <w:rsid w:val="003D1CF9"/>
    <w:rsid w:val="003D2727"/>
    <w:rsid w:val="003D281A"/>
    <w:rsid w:val="003D2909"/>
    <w:rsid w:val="003D2A8B"/>
    <w:rsid w:val="003D2D5B"/>
    <w:rsid w:val="003D3155"/>
    <w:rsid w:val="003D36D9"/>
    <w:rsid w:val="003D37A2"/>
    <w:rsid w:val="003D38F2"/>
    <w:rsid w:val="003D39A4"/>
    <w:rsid w:val="003D3AD8"/>
    <w:rsid w:val="003D3FC7"/>
    <w:rsid w:val="003D43FB"/>
    <w:rsid w:val="003D443A"/>
    <w:rsid w:val="003D4C8F"/>
    <w:rsid w:val="003D502F"/>
    <w:rsid w:val="003D52F1"/>
    <w:rsid w:val="003D5335"/>
    <w:rsid w:val="003D53B3"/>
    <w:rsid w:val="003D6130"/>
    <w:rsid w:val="003D6131"/>
    <w:rsid w:val="003D6158"/>
    <w:rsid w:val="003D66CF"/>
    <w:rsid w:val="003D71B4"/>
    <w:rsid w:val="003D73BC"/>
    <w:rsid w:val="003D786D"/>
    <w:rsid w:val="003D7E08"/>
    <w:rsid w:val="003D7E4D"/>
    <w:rsid w:val="003E076A"/>
    <w:rsid w:val="003E1356"/>
    <w:rsid w:val="003E140C"/>
    <w:rsid w:val="003E1464"/>
    <w:rsid w:val="003E1B4A"/>
    <w:rsid w:val="003E1D6E"/>
    <w:rsid w:val="003E2124"/>
    <w:rsid w:val="003E2455"/>
    <w:rsid w:val="003E245C"/>
    <w:rsid w:val="003E2603"/>
    <w:rsid w:val="003E2698"/>
    <w:rsid w:val="003E2B68"/>
    <w:rsid w:val="003E3634"/>
    <w:rsid w:val="003E36F8"/>
    <w:rsid w:val="003E3E94"/>
    <w:rsid w:val="003E41D8"/>
    <w:rsid w:val="003E433A"/>
    <w:rsid w:val="003E4360"/>
    <w:rsid w:val="003E4A77"/>
    <w:rsid w:val="003E5721"/>
    <w:rsid w:val="003E5985"/>
    <w:rsid w:val="003E5A5F"/>
    <w:rsid w:val="003E5B3A"/>
    <w:rsid w:val="003E5CFC"/>
    <w:rsid w:val="003E5DA7"/>
    <w:rsid w:val="003E5EC2"/>
    <w:rsid w:val="003E6A15"/>
    <w:rsid w:val="003E6D4E"/>
    <w:rsid w:val="003E7439"/>
    <w:rsid w:val="003E7D2B"/>
    <w:rsid w:val="003F01D3"/>
    <w:rsid w:val="003F0A58"/>
    <w:rsid w:val="003F0CA2"/>
    <w:rsid w:val="003F0E06"/>
    <w:rsid w:val="003F0E83"/>
    <w:rsid w:val="003F182E"/>
    <w:rsid w:val="003F1A0E"/>
    <w:rsid w:val="003F255A"/>
    <w:rsid w:val="003F2C2E"/>
    <w:rsid w:val="003F3031"/>
    <w:rsid w:val="003F305D"/>
    <w:rsid w:val="003F3171"/>
    <w:rsid w:val="003F34ED"/>
    <w:rsid w:val="003F3632"/>
    <w:rsid w:val="003F38F3"/>
    <w:rsid w:val="003F3AE1"/>
    <w:rsid w:val="003F3D45"/>
    <w:rsid w:val="003F4056"/>
    <w:rsid w:val="003F416E"/>
    <w:rsid w:val="003F41F3"/>
    <w:rsid w:val="003F4358"/>
    <w:rsid w:val="003F4381"/>
    <w:rsid w:val="003F4681"/>
    <w:rsid w:val="003F4972"/>
    <w:rsid w:val="003F4A90"/>
    <w:rsid w:val="003F4AB2"/>
    <w:rsid w:val="003F4CD1"/>
    <w:rsid w:val="003F4D26"/>
    <w:rsid w:val="003F4EFF"/>
    <w:rsid w:val="003F4F51"/>
    <w:rsid w:val="003F4F6D"/>
    <w:rsid w:val="003F5457"/>
    <w:rsid w:val="003F5A04"/>
    <w:rsid w:val="003F5D4F"/>
    <w:rsid w:val="003F5E03"/>
    <w:rsid w:val="003F5FAF"/>
    <w:rsid w:val="003F6369"/>
    <w:rsid w:val="003F6430"/>
    <w:rsid w:val="003F650B"/>
    <w:rsid w:val="003F6561"/>
    <w:rsid w:val="003F6970"/>
    <w:rsid w:val="003F6A54"/>
    <w:rsid w:val="003F6BAB"/>
    <w:rsid w:val="003F6CC8"/>
    <w:rsid w:val="003F6D31"/>
    <w:rsid w:val="003F7340"/>
    <w:rsid w:val="003F74B7"/>
    <w:rsid w:val="003F74E7"/>
    <w:rsid w:val="003F7504"/>
    <w:rsid w:val="003F7B4A"/>
    <w:rsid w:val="003F7B67"/>
    <w:rsid w:val="003F7C7E"/>
    <w:rsid w:val="003F7D83"/>
    <w:rsid w:val="003F7F5E"/>
    <w:rsid w:val="00400155"/>
    <w:rsid w:val="0040021A"/>
    <w:rsid w:val="00400308"/>
    <w:rsid w:val="00400547"/>
    <w:rsid w:val="0040068B"/>
    <w:rsid w:val="00400856"/>
    <w:rsid w:val="00400952"/>
    <w:rsid w:val="00400BD1"/>
    <w:rsid w:val="00400EE1"/>
    <w:rsid w:val="00400FC5"/>
    <w:rsid w:val="00401020"/>
    <w:rsid w:val="0040104A"/>
    <w:rsid w:val="00401058"/>
    <w:rsid w:val="0040112F"/>
    <w:rsid w:val="004011A2"/>
    <w:rsid w:val="004013DC"/>
    <w:rsid w:val="004015B3"/>
    <w:rsid w:val="0040178B"/>
    <w:rsid w:val="00401AC8"/>
    <w:rsid w:val="00401C89"/>
    <w:rsid w:val="0040206E"/>
    <w:rsid w:val="004020A6"/>
    <w:rsid w:val="00402515"/>
    <w:rsid w:val="00402805"/>
    <w:rsid w:val="0040290B"/>
    <w:rsid w:val="00402E5E"/>
    <w:rsid w:val="0040308A"/>
    <w:rsid w:val="004031A5"/>
    <w:rsid w:val="0040350A"/>
    <w:rsid w:val="004037C6"/>
    <w:rsid w:val="0040397A"/>
    <w:rsid w:val="00403AD0"/>
    <w:rsid w:val="00403C16"/>
    <w:rsid w:val="00403F01"/>
    <w:rsid w:val="00404985"/>
    <w:rsid w:val="0040514A"/>
    <w:rsid w:val="0040555D"/>
    <w:rsid w:val="00405811"/>
    <w:rsid w:val="00405C7B"/>
    <w:rsid w:val="00405C90"/>
    <w:rsid w:val="00405D5F"/>
    <w:rsid w:val="00405FDD"/>
    <w:rsid w:val="00406324"/>
    <w:rsid w:val="0040693F"/>
    <w:rsid w:val="00407139"/>
    <w:rsid w:val="004071BE"/>
    <w:rsid w:val="00407607"/>
    <w:rsid w:val="004078AD"/>
    <w:rsid w:val="00410239"/>
    <w:rsid w:val="0041028A"/>
    <w:rsid w:val="0041041E"/>
    <w:rsid w:val="00410424"/>
    <w:rsid w:val="00410441"/>
    <w:rsid w:val="004104E7"/>
    <w:rsid w:val="0041095D"/>
    <w:rsid w:val="00411D66"/>
    <w:rsid w:val="00412056"/>
    <w:rsid w:val="00412404"/>
    <w:rsid w:val="00412818"/>
    <w:rsid w:val="00412B86"/>
    <w:rsid w:val="00412E51"/>
    <w:rsid w:val="00413089"/>
    <w:rsid w:val="0041362E"/>
    <w:rsid w:val="00413B07"/>
    <w:rsid w:val="00413B7F"/>
    <w:rsid w:val="00413FCE"/>
    <w:rsid w:val="0041445B"/>
    <w:rsid w:val="00414548"/>
    <w:rsid w:val="0041473F"/>
    <w:rsid w:val="004148AA"/>
    <w:rsid w:val="00414D81"/>
    <w:rsid w:val="0041553F"/>
    <w:rsid w:val="0041569F"/>
    <w:rsid w:val="004157CE"/>
    <w:rsid w:val="0041582D"/>
    <w:rsid w:val="00415CBA"/>
    <w:rsid w:val="00416602"/>
    <w:rsid w:val="00416655"/>
    <w:rsid w:val="00416C32"/>
    <w:rsid w:val="004171E7"/>
    <w:rsid w:val="0041725B"/>
    <w:rsid w:val="0041783E"/>
    <w:rsid w:val="004178B0"/>
    <w:rsid w:val="0041797F"/>
    <w:rsid w:val="00417AD8"/>
    <w:rsid w:val="00417D5F"/>
    <w:rsid w:val="00420195"/>
    <w:rsid w:val="004206DD"/>
    <w:rsid w:val="00420759"/>
    <w:rsid w:val="00420818"/>
    <w:rsid w:val="004208F7"/>
    <w:rsid w:val="00420C6E"/>
    <w:rsid w:val="00420F30"/>
    <w:rsid w:val="004211CC"/>
    <w:rsid w:val="00422514"/>
    <w:rsid w:val="004225E7"/>
    <w:rsid w:val="0042272D"/>
    <w:rsid w:val="004227F1"/>
    <w:rsid w:val="004228D0"/>
    <w:rsid w:val="00422A0A"/>
    <w:rsid w:val="00423101"/>
    <w:rsid w:val="004242AF"/>
    <w:rsid w:val="0042494D"/>
    <w:rsid w:val="00424DE2"/>
    <w:rsid w:val="00425114"/>
    <w:rsid w:val="0042516B"/>
    <w:rsid w:val="00425220"/>
    <w:rsid w:val="004253C0"/>
    <w:rsid w:val="00425A7B"/>
    <w:rsid w:val="00425CE2"/>
    <w:rsid w:val="00425E0D"/>
    <w:rsid w:val="00425F32"/>
    <w:rsid w:val="00426187"/>
    <w:rsid w:val="004263D9"/>
    <w:rsid w:val="00426454"/>
    <w:rsid w:val="004264D9"/>
    <w:rsid w:val="00426784"/>
    <w:rsid w:val="004268B7"/>
    <w:rsid w:val="00426AC7"/>
    <w:rsid w:val="00426B75"/>
    <w:rsid w:val="00426C0D"/>
    <w:rsid w:val="00426E34"/>
    <w:rsid w:val="0042706E"/>
    <w:rsid w:val="00427A57"/>
    <w:rsid w:val="0043020C"/>
    <w:rsid w:val="00430409"/>
    <w:rsid w:val="004304BC"/>
    <w:rsid w:val="004305B9"/>
    <w:rsid w:val="00430837"/>
    <w:rsid w:val="004309E1"/>
    <w:rsid w:val="00430C42"/>
    <w:rsid w:val="00430C8B"/>
    <w:rsid w:val="004312E8"/>
    <w:rsid w:val="004315FF"/>
    <w:rsid w:val="00431836"/>
    <w:rsid w:val="00431A55"/>
    <w:rsid w:val="00431E07"/>
    <w:rsid w:val="00431E7C"/>
    <w:rsid w:val="0043210F"/>
    <w:rsid w:val="0043246D"/>
    <w:rsid w:val="00432856"/>
    <w:rsid w:val="004328AE"/>
    <w:rsid w:val="00432A5C"/>
    <w:rsid w:val="00432B6B"/>
    <w:rsid w:val="00432D82"/>
    <w:rsid w:val="004330FD"/>
    <w:rsid w:val="0043323E"/>
    <w:rsid w:val="004339D3"/>
    <w:rsid w:val="00433CC2"/>
    <w:rsid w:val="00433D71"/>
    <w:rsid w:val="00433D87"/>
    <w:rsid w:val="00433F36"/>
    <w:rsid w:val="0043432B"/>
    <w:rsid w:val="00434923"/>
    <w:rsid w:val="0043518B"/>
    <w:rsid w:val="004351A8"/>
    <w:rsid w:val="004355A4"/>
    <w:rsid w:val="004358EC"/>
    <w:rsid w:val="00435FF5"/>
    <w:rsid w:val="00436093"/>
    <w:rsid w:val="0043651A"/>
    <w:rsid w:val="00436705"/>
    <w:rsid w:val="00436EC8"/>
    <w:rsid w:val="004370E0"/>
    <w:rsid w:val="004372B5"/>
    <w:rsid w:val="004378EA"/>
    <w:rsid w:val="00437BE3"/>
    <w:rsid w:val="0044033E"/>
    <w:rsid w:val="00440525"/>
    <w:rsid w:val="004407E5"/>
    <w:rsid w:val="00440C0D"/>
    <w:rsid w:val="004411E3"/>
    <w:rsid w:val="0044129E"/>
    <w:rsid w:val="00441A46"/>
    <w:rsid w:val="00441C7F"/>
    <w:rsid w:val="00441CEF"/>
    <w:rsid w:val="00442C47"/>
    <w:rsid w:val="004436F0"/>
    <w:rsid w:val="00443B3E"/>
    <w:rsid w:val="00443DFD"/>
    <w:rsid w:val="00443E40"/>
    <w:rsid w:val="0044411B"/>
    <w:rsid w:val="004441DF"/>
    <w:rsid w:val="0044427C"/>
    <w:rsid w:val="004443DC"/>
    <w:rsid w:val="004444DF"/>
    <w:rsid w:val="0044479A"/>
    <w:rsid w:val="00444BEB"/>
    <w:rsid w:val="0044553E"/>
    <w:rsid w:val="00445E50"/>
    <w:rsid w:val="00446123"/>
    <w:rsid w:val="004472CC"/>
    <w:rsid w:val="0044776A"/>
    <w:rsid w:val="004478E4"/>
    <w:rsid w:val="0044794C"/>
    <w:rsid w:val="00447E06"/>
    <w:rsid w:val="00447EFF"/>
    <w:rsid w:val="004500E7"/>
    <w:rsid w:val="004502D8"/>
    <w:rsid w:val="00450422"/>
    <w:rsid w:val="00450536"/>
    <w:rsid w:val="00450ABA"/>
    <w:rsid w:val="00450E7F"/>
    <w:rsid w:val="004511DD"/>
    <w:rsid w:val="0045129B"/>
    <w:rsid w:val="00451432"/>
    <w:rsid w:val="0045164B"/>
    <w:rsid w:val="004519D7"/>
    <w:rsid w:val="00451B52"/>
    <w:rsid w:val="00451E62"/>
    <w:rsid w:val="00452B01"/>
    <w:rsid w:val="004531BE"/>
    <w:rsid w:val="004531DE"/>
    <w:rsid w:val="0045351B"/>
    <w:rsid w:val="0045395A"/>
    <w:rsid w:val="00453F3E"/>
    <w:rsid w:val="004540B1"/>
    <w:rsid w:val="00454235"/>
    <w:rsid w:val="00454333"/>
    <w:rsid w:val="00454443"/>
    <w:rsid w:val="00454D53"/>
    <w:rsid w:val="00456100"/>
    <w:rsid w:val="00456320"/>
    <w:rsid w:val="00456499"/>
    <w:rsid w:val="0045696B"/>
    <w:rsid w:val="00456A53"/>
    <w:rsid w:val="00456E85"/>
    <w:rsid w:val="00457429"/>
    <w:rsid w:val="0045781F"/>
    <w:rsid w:val="00457C07"/>
    <w:rsid w:val="00457CD6"/>
    <w:rsid w:val="0046001D"/>
    <w:rsid w:val="00460206"/>
    <w:rsid w:val="00460227"/>
    <w:rsid w:val="00460498"/>
    <w:rsid w:val="00460541"/>
    <w:rsid w:val="00460730"/>
    <w:rsid w:val="00460883"/>
    <w:rsid w:val="004608B5"/>
    <w:rsid w:val="004610CF"/>
    <w:rsid w:val="0046129A"/>
    <w:rsid w:val="00461BE4"/>
    <w:rsid w:val="0046208A"/>
    <w:rsid w:val="00462115"/>
    <w:rsid w:val="0046236F"/>
    <w:rsid w:val="00462397"/>
    <w:rsid w:val="00462842"/>
    <w:rsid w:val="004629D1"/>
    <w:rsid w:val="00462C34"/>
    <w:rsid w:val="00462D14"/>
    <w:rsid w:val="00462E3A"/>
    <w:rsid w:val="00462F67"/>
    <w:rsid w:val="00463012"/>
    <w:rsid w:val="00463245"/>
    <w:rsid w:val="004637B4"/>
    <w:rsid w:val="004637D0"/>
    <w:rsid w:val="0046382D"/>
    <w:rsid w:val="00463CFF"/>
    <w:rsid w:val="00464635"/>
    <w:rsid w:val="004646F8"/>
    <w:rsid w:val="00464B90"/>
    <w:rsid w:val="0046510E"/>
    <w:rsid w:val="00465221"/>
    <w:rsid w:val="00465D76"/>
    <w:rsid w:val="00465EC7"/>
    <w:rsid w:val="00465F32"/>
    <w:rsid w:val="00466643"/>
    <w:rsid w:val="00466853"/>
    <w:rsid w:val="004668CB"/>
    <w:rsid w:val="004669CC"/>
    <w:rsid w:val="004669EF"/>
    <w:rsid w:val="00466B8B"/>
    <w:rsid w:val="00466F54"/>
    <w:rsid w:val="00467499"/>
    <w:rsid w:val="00467752"/>
    <w:rsid w:val="00467766"/>
    <w:rsid w:val="00470146"/>
    <w:rsid w:val="0047016C"/>
    <w:rsid w:val="004708A9"/>
    <w:rsid w:val="004708DF"/>
    <w:rsid w:val="00470996"/>
    <w:rsid w:val="00470BC1"/>
    <w:rsid w:val="00470FE1"/>
    <w:rsid w:val="004711F8"/>
    <w:rsid w:val="004720CE"/>
    <w:rsid w:val="00472671"/>
    <w:rsid w:val="00472E25"/>
    <w:rsid w:val="004730BE"/>
    <w:rsid w:val="0047323D"/>
    <w:rsid w:val="00473425"/>
    <w:rsid w:val="004734F8"/>
    <w:rsid w:val="00473567"/>
    <w:rsid w:val="00473808"/>
    <w:rsid w:val="00473897"/>
    <w:rsid w:val="004738EF"/>
    <w:rsid w:val="00473E6F"/>
    <w:rsid w:val="00473F9E"/>
    <w:rsid w:val="004743CC"/>
    <w:rsid w:val="004744D6"/>
    <w:rsid w:val="004747BB"/>
    <w:rsid w:val="00474C02"/>
    <w:rsid w:val="00474E5C"/>
    <w:rsid w:val="00474ECA"/>
    <w:rsid w:val="004750B5"/>
    <w:rsid w:val="004758F7"/>
    <w:rsid w:val="00475B53"/>
    <w:rsid w:val="00475CC6"/>
    <w:rsid w:val="00475E6F"/>
    <w:rsid w:val="00475F06"/>
    <w:rsid w:val="00476111"/>
    <w:rsid w:val="0047617F"/>
    <w:rsid w:val="004762F6"/>
    <w:rsid w:val="004764B0"/>
    <w:rsid w:val="00476650"/>
    <w:rsid w:val="0047669C"/>
    <w:rsid w:val="0047698E"/>
    <w:rsid w:val="00476B9D"/>
    <w:rsid w:val="00477E89"/>
    <w:rsid w:val="00477F86"/>
    <w:rsid w:val="00480F0F"/>
    <w:rsid w:val="00481022"/>
    <w:rsid w:val="004811B6"/>
    <w:rsid w:val="00481410"/>
    <w:rsid w:val="00481500"/>
    <w:rsid w:val="00481802"/>
    <w:rsid w:val="004818CE"/>
    <w:rsid w:val="00481DF2"/>
    <w:rsid w:val="00481E87"/>
    <w:rsid w:val="004822AD"/>
    <w:rsid w:val="004825A7"/>
    <w:rsid w:val="00482A49"/>
    <w:rsid w:val="00482B8D"/>
    <w:rsid w:val="00482E7E"/>
    <w:rsid w:val="00483348"/>
    <w:rsid w:val="004833A1"/>
    <w:rsid w:val="0048365C"/>
    <w:rsid w:val="00483829"/>
    <w:rsid w:val="00483844"/>
    <w:rsid w:val="0048384E"/>
    <w:rsid w:val="00483BCB"/>
    <w:rsid w:val="00483D86"/>
    <w:rsid w:val="00483DDA"/>
    <w:rsid w:val="00483E2D"/>
    <w:rsid w:val="00483E74"/>
    <w:rsid w:val="00484091"/>
    <w:rsid w:val="004842E1"/>
    <w:rsid w:val="0048443D"/>
    <w:rsid w:val="004844A0"/>
    <w:rsid w:val="00484B10"/>
    <w:rsid w:val="00484D35"/>
    <w:rsid w:val="004852BD"/>
    <w:rsid w:val="00485347"/>
    <w:rsid w:val="004854A1"/>
    <w:rsid w:val="004855D9"/>
    <w:rsid w:val="00485909"/>
    <w:rsid w:val="00485F63"/>
    <w:rsid w:val="00486049"/>
    <w:rsid w:val="004862A2"/>
    <w:rsid w:val="00486C38"/>
    <w:rsid w:val="00486DCD"/>
    <w:rsid w:val="00487295"/>
    <w:rsid w:val="0048768F"/>
    <w:rsid w:val="004876BB"/>
    <w:rsid w:val="00487BFA"/>
    <w:rsid w:val="00487EF3"/>
    <w:rsid w:val="004904D6"/>
    <w:rsid w:val="00490505"/>
    <w:rsid w:val="004909B1"/>
    <w:rsid w:val="00490A49"/>
    <w:rsid w:val="00490DE7"/>
    <w:rsid w:val="004910CB"/>
    <w:rsid w:val="004912D7"/>
    <w:rsid w:val="0049162D"/>
    <w:rsid w:val="0049168C"/>
    <w:rsid w:val="0049190B"/>
    <w:rsid w:val="00492810"/>
    <w:rsid w:val="004928F6"/>
    <w:rsid w:val="00492B35"/>
    <w:rsid w:val="00492CA0"/>
    <w:rsid w:val="00492FF1"/>
    <w:rsid w:val="00493043"/>
    <w:rsid w:val="00493A88"/>
    <w:rsid w:val="00493AC2"/>
    <w:rsid w:val="00493FC9"/>
    <w:rsid w:val="00494441"/>
    <w:rsid w:val="004948D4"/>
    <w:rsid w:val="00494B70"/>
    <w:rsid w:val="00494BE0"/>
    <w:rsid w:val="00494DEF"/>
    <w:rsid w:val="00494F50"/>
    <w:rsid w:val="00494FBC"/>
    <w:rsid w:val="0049563A"/>
    <w:rsid w:val="0049578E"/>
    <w:rsid w:val="00495BB0"/>
    <w:rsid w:val="00495BF0"/>
    <w:rsid w:val="00495D35"/>
    <w:rsid w:val="004960C2"/>
    <w:rsid w:val="004960D3"/>
    <w:rsid w:val="004962A9"/>
    <w:rsid w:val="0049648C"/>
    <w:rsid w:val="0049670A"/>
    <w:rsid w:val="00496765"/>
    <w:rsid w:val="00496790"/>
    <w:rsid w:val="00496F67"/>
    <w:rsid w:val="00497082"/>
    <w:rsid w:val="00497125"/>
    <w:rsid w:val="004975E0"/>
    <w:rsid w:val="004A049E"/>
    <w:rsid w:val="004A070E"/>
    <w:rsid w:val="004A0756"/>
    <w:rsid w:val="004A0B07"/>
    <w:rsid w:val="004A0B44"/>
    <w:rsid w:val="004A105A"/>
    <w:rsid w:val="004A1252"/>
    <w:rsid w:val="004A14F0"/>
    <w:rsid w:val="004A1716"/>
    <w:rsid w:val="004A1A5E"/>
    <w:rsid w:val="004A263D"/>
    <w:rsid w:val="004A27A9"/>
    <w:rsid w:val="004A2FA5"/>
    <w:rsid w:val="004A308C"/>
    <w:rsid w:val="004A3145"/>
    <w:rsid w:val="004A33BD"/>
    <w:rsid w:val="004A3482"/>
    <w:rsid w:val="004A39EE"/>
    <w:rsid w:val="004A3A76"/>
    <w:rsid w:val="004A3D19"/>
    <w:rsid w:val="004A3E7D"/>
    <w:rsid w:val="004A3F26"/>
    <w:rsid w:val="004A4024"/>
    <w:rsid w:val="004A40B2"/>
    <w:rsid w:val="004A413A"/>
    <w:rsid w:val="004A4460"/>
    <w:rsid w:val="004A447E"/>
    <w:rsid w:val="004A449F"/>
    <w:rsid w:val="004A4602"/>
    <w:rsid w:val="004A4B1B"/>
    <w:rsid w:val="004A4E44"/>
    <w:rsid w:val="004A4EE1"/>
    <w:rsid w:val="004A5054"/>
    <w:rsid w:val="004A5942"/>
    <w:rsid w:val="004A5DE1"/>
    <w:rsid w:val="004A6236"/>
    <w:rsid w:val="004A64E6"/>
    <w:rsid w:val="004A6829"/>
    <w:rsid w:val="004A7874"/>
    <w:rsid w:val="004A7B34"/>
    <w:rsid w:val="004A7EF9"/>
    <w:rsid w:val="004B0A7D"/>
    <w:rsid w:val="004B0A7E"/>
    <w:rsid w:val="004B0ABE"/>
    <w:rsid w:val="004B0BC8"/>
    <w:rsid w:val="004B0C00"/>
    <w:rsid w:val="004B120A"/>
    <w:rsid w:val="004B124F"/>
    <w:rsid w:val="004B1509"/>
    <w:rsid w:val="004B159A"/>
    <w:rsid w:val="004B1633"/>
    <w:rsid w:val="004B172D"/>
    <w:rsid w:val="004B17E0"/>
    <w:rsid w:val="004B1873"/>
    <w:rsid w:val="004B1FE9"/>
    <w:rsid w:val="004B21B8"/>
    <w:rsid w:val="004B2222"/>
    <w:rsid w:val="004B2369"/>
    <w:rsid w:val="004B244D"/>
    <w:rsid w:val="004B24C8"/>
    <w:rsid w:val="004B2E51"/>
    <w:rsid w:val="004B35C9"/>
    <w:rsid w:val="004B3B15"/>
    <w:rsid w:val="004B3B23"/>
    <w:rsid w:val="004B4343"/>
    <w:rsid w:val="004B44AB"/>
    <w:rsid w:val="004B4555"/>
    <w:rsid w:val="004B487B"/>
    <w:rsid w:val="004B4916"/>
    <w:rsid w:val="004B4934"/>
    <w:rsid w:val="004B499B"/>
    <w:rsid w:val="004B4A65"/>
    <w:rsid w:val="004B4F9F"/>
    <w:rsid w:val="004B5200"/>
    <w:rsid w:val="004B5381"/>
    <w:rsid w:val="004B5627"/>
    <w:rsid w:val="004B5647"/>
    <w:rsid w:val="004B5665"/>
    <w:rsid w:val="004B56CE"/>
    <w:rsid w:val="004B6617"/>
    <w:rsid w:val="004B6A30"/>
    <w:rsid w:val="004B6BA0"/>
    <w:rsid w:val="004B6F11"/>
    <w:rsid w:val="004B6FFD"/>
    <w:rsid w:val="004B718E"/>
    <w:rsid w:val="004B7345"/>
    <w:rsid w:val="004B7539"/>
    <w:rsid w:val="004B7697"/>
    <w:rsid w:val="004B769C"/>
    <w:rsid w:val="004B7A13"/>
    <w:rsid w:val="004B7A99"/>
    <w:rsid w:val="004B7D2A"/>
    <w:rsid w:val="004B7ED1"/>
    <w:rsid w:val="004B7FF8"/>
    <w:rsid w:val="004C02EA"/>
    <w:rsid w:val="004C0333"/>
    <w:rsid w:val="004C0A23"/>
    <w:rsid w:val="004C0AC0"/>
    <w:rsid w:val="004C10C9"/>
    <w:rsid w:val="004C1716"/>
    <w:rsid w:val="004C1A83"/>
    <w:rsid w:val="004C1BDB"/>
    <w:rsid w:val="004C24E9"/>
    <w:rsid w:val="004C24F6"/>
    <w:rsid w:val="004C35AA"/>
    <w:rsid w:val="004C3686"/>
    <w:rsid w:val="004C37BA"/>
    <w:rsid w:val="004C39F9"/>
    <w:rsid w:val="004C3CA4"/>
    <w:rsid w:val="004C3FF3"/>
    <w:rsid w:val="004C48F1"/>
    <w:rsid w:val="004C4DF5"/>
    <w:rsid w:val="004C4E68"/>
    <w:rsid w:val="004C4E97"/>
    <w:rsid w:val="004C53D9"/>
    <w:rsid w:val="004C5A0F"/>
    <w:rsid w:val="004C5D6F"/>
    <w:rsid w:val="004C5F1C"/>
    <w:rsid w:val="004C62BD"/>
    <w:rsid w:val="004C62F8"/>
    <w:rsid w:val="004C6BBE"/>
    <w:rsid w:val="004C6BCE"/>
    <w:rsid w:val="004C7085"/>
    <w:rsid w:val="004C71C4"/>
    <w:rsid w:val="004C7584"/>
    <w:rsid w:val="004C762B"/>
    <w:rsid w:val="004C76CC"/>
    <w:rsid w:val="004C76E8"/>
    <w:rsid w:val="004C78F0"/>
    <w:rsid w:val="004C7BCE"/>
    <w:rsid w:val="004C7C1C"/>
    <w:rsid w:val="004C7EAE"/>
    <w:rsid w:val="004D000E"/>
    <w:rsid w:val="004D0029"/>
    <w:rsid w:val="004D0071"/>
    <w:rsid w:val="004D016A"/>
    <w:rsid w:val="004D026D"/>
    <w:rsid w:val="004D02FF"/>
    <w:rsid w:val="004D05D0"/>
    <w:rsid w:val="004D06A7"/>
    <w:rsid w:val="004D07D4"/>
    <w:rsid w:val="004D0A9D"/>
    <w:rsid w:val="004D11F6"/>
    <w:rsid w:val="004D1573"/>
    <w:rsid w:val="004D1A1F"/>
    <w:rsid w:val="004D1BB2"/>
    <w:rsid w:val="004D1BCE"/>
    <w:rsid w:val="004D1C55"/>
    <w:rsid w:val="004D1E6B"/>
    <w:rsid w:val="004D2524"/>
    <w:rsid w:val="004D25EE"/>
    <w:rsid w:val="004D2707"/>
    <w:rsid w:val="004D272A"/>
    <w:rsid w:val="004D273A"/>
    <w:rsid w:val="004D2981"/>
    <w:rsid w:val="004D299E"/>
    <w:rsid w:val="004D2A04"/>
    <w:rsid w:val="004D2AF8"/>
    <w:rsid w:val="004D2C5A"/>
    <w:rsid w:val="004D2FCA"/>
    <w:rsid w:val="004D334E"/>
    <w:rsid w:val="004D3390"/>
    <w:rsid w:val="004D3D39"/>
    <w:rsid w:val="004D40FB"/>
    <w:rsid w:val="004D430B"/>
    <w:rsid w:val="004D4933"/>
    <w:rsid w:val="004D4966"/>
    <w:rsid w:val="004D4B75"/>
    <w:rsid w:val="004D4C0A"/>
    <w:rsid w:val="004D4FC1"/>
    <w:rsid w:val="004D531C"/>
    <w:rsid w:val="004D53B3"/>
    <w:rsid w:val="004D53BD"/>
    <w:rsid w:val="004D5C6E"/>
    <w:rsid w:val="004D644B"/>
    <w:rsid w:val="004D6CCB"/>
    <w:rsid w:val="004D7188"/>
    <w:rsid w:val="004D7207"/>
    <w:rsid w:val="004D76F6"/>
    <w:rsid w:val="004D78FE"/>
    <w:rsid w:val="004D799B"/>
    <w:rsid w:val="004D7FD4"/>
    <w:rsid w:val="004E0009"/>
    <w:rsid w:val="004E0103"/>
    <w:rsid w:val="004E1138"/>
    <w:rsid w:val="004E12ED"/>
    <w:rsid w:val="004E133F"/>
    <w:rsid w:val="004E1A40"/>
    <w:rsid w:val="004E1CD3"/>
    <w:rsid w:val="004E1E14"/>
    <w:rsid w:val="004E1F48"/>
    <w:rsid w:val="004E1FF6"/>
    <w:rsid w:val="004E218C"/>
    <w:rsid w:val="004E2627"/>
    <w:rsid w:val="004E2738"/>
    <w:rsid w:val="004E27A6"/>
    <w:rsid w:val="004E2E09"/>
    <w:rsid w:val="004E33DC"/>
    <w:rsid w:val="004E33FF"/>
    <w:rsid w:val="004E34F0"/>
    <w:rsid w:val="004E3803"/>
    <w:rsid w:val="004E381B"/>
    <w:rsid w:val="004E3A63"/>
    <w:rsid w:val="004E3C38"/>
    <w:rsid w:val="004E3FFD"/>
    <w:rsid w:val="004E4A17"/>
    <w:rsid w:val="004E4D92"/>
    <w:rsid w:val="004E5AE3"/>
    <w:rsid w:val="004E641F"/>
    <w:rsid w:val="004E660D"/>
    <w:rsid w:val="004E69AC"/>
    <w:rsid w:val="004E6A0C"/>
    <w:rsid w:val="004E7137"/>
    <w:rsid w:val="004E763C"/>
    <w:rsid w:val="004E7DFA"/>
    <w:rsid w:val="004F0891"/>
    <w:rsid w:val="004F0B75"/>
    <w:rsid w:val="004F0E12"/>
    <w:rsid w:val="004F16E0"/>
    <w:rsid w:val="004F16E6"/>
    <w:rsid w:val="004F192E"/>
    <w:rsid w:val="004F1959"/>
    <w:rsid w:val="004F1B81"/>
    <w:rsid w:val="004F1D68"/>
    <w:rsid w:val="004F1D9C"/>
    <w:rsid w:val="004F1FC9"/>
    <w:rsid w:val="004F2051"/>
    <w:rsid w:val="004F20B3"/>
    <w:rsid w:val="004F22C6"/>
    <w:rsid w:val="004F2449"/>
    <w:rsid w:val="004F2759"/>
    <w:rsid w:val="004F2DDD"/>
    <w:rsid w:val="004F33E7"/>
    <w:rsid w:val="004F39E8"/>
    <w:rsid w:val="004F3D59"/>
    <w:rsid w:val="004F3F3E"/>
    <w:rsid w:val="004F4041"/>
    <w:rsid w:val="004F4070"/>
    <w:rsid w:val="004F4851"/>
    <w:rsid w:val="004F4DA9"/>
    <w:rsid w:val="004F4F03"/>
    <w:rsid w:val="004F4F84"/>
    <w:rsid w:val="004F5227"/>
    <w:rsid w:val="004F5353"/>
    <w:rsid w:val="004F55E3"/>
    <w:rsid w:val="004F58D7"/>
    <w:rsid w:val="004F5924"/>
    <w:rsid w:val="004F59E7"/>
    <w:rsid w:val="004F5B6B"/>
    <w:rsid w:val="004F5D4B"/>
    <w:rsid w:val="004F5E51"/>
    <w:rsid w:val="004F5EDB"/>
    <w:rsid w:val="004F6263"/>
    <w:rsid w:val="004F68BE"/>
    <w:rsid w:val="004F6B72"/>
    <w:rsid w:val="004F6E39"/>
    <w:rsid w:val="004F6E4D"/>
    <w:rsid w:val="004F7116"/>
    <w:rsid w:val="004F7258"/>
    <w:rsid w:val="004F75E8"/>
    <w:rsid w:val="004F76CB"/>
    <w:rsid w:val="004F7792"/>
    <w:rsid w:val="004F7BB8"/>
    <w:rsid w:val="004F7D4E"/>
    <w:rsid w:val="0050035B"/>
    <w:rsid w:val="00500E73"/>
    <w:rsid w:val="00501204"/>
    <w:rsid w:val="005016EA"/>
    <w:rsid w:val="00501A9B"/>
    <w:rsid w:val="00501E47"/>
    <w:rsid w:val="00502684"/>
    <w:rsid w:val="005027E8"/>
    <w:rsid w:val="00502955"/>
    <w:rsid w:val="00502CFB"/>
    <w:rsid w:val="005030E9"/>
    <w:rsid w:val="00503440"/>
    <w:rsid w:val="005034D4"/>
    <w:rsid w:val="00503901"/>
    <w:rsid w:val="00503989"/>
    <w:rsid w:val="005042DD"/>
    <w:rsid w:val="00504372"/>
    <w:rsid w:val="00504491"/>
    <w:rsid w:val="005045A1"/>
    <w:rsid w:val="00504974"/>
    <w:rsid w:val="00504C22"/>
    <w:rsid w:val="00504F8A"/>
    <w:rsid w:val="005056B3"/>
    <w:rsid w:val="00505956"/>
    <w:rsid w:val="00505AC2"/>
    <w:rsid w:val="00505AE5"/>
    <w:rsid w:val="00505B6E"/>
    <w:rsid w:val="00505C18"/>
    <w:rsid w:val="00505C6A"/>
    <w:rsid w:val="00505D67"/>
    <w:rsid w:val="00505DD6"/>
    <w:rsid w:val="00505E30"/>
    <w:rsid w:val="00505E99"/>
    <w:rsid w:val="00506245"/>
    <w:rsid w:val="0050629C"/>
    <w:rsid w:val="00506B17"/>
    <w:rsid w:val="00506C57"/>
    <w:rsid w:val="00506D47"/>
    <w:rsid w:val="00506F4E"/>
    <w:rsid w:val="005078E6"/>
    <w:rsid w:val="00507B04"/>
    <w:rsid w:val="005101FC"/>
    <w:rsid w:val="00510210"/>
    <w:rsid w:val="00510568"/>
    <w:rsid w:val="00510C61"/>
    <w:rsid w:val="005111DA"/>
    <w:rsid w:val="005118CD"/>
    <w:rsid w:val="00511AD9"/>
    <w:rsid w:val="00511BF1"/>
    <w:rsid w:val="00511DC3"/>
    <w:rsid w:val="00511DFF"/>
    <w:rsid w:val="00511E6F"/>
    <w:rsid w:val="00512003"/>
    <w:rsid w:val="0051202A"/>
    <w:rsid w:val="00512186"/>
    <w:rsid w:val="005126ED"/>
    <w:rsid w:val="00512871"/>
    <w:rsid w:val="00512A4E"/>
    <w:rsid w:val="00512A7F"/>
    <w:rsid w:val="00512B5B"/>
    <w:rsid w:val="00512B63"/>
    <w:rsid w:val="00513392"/>
    <w:rsid w:val="005133FB"/>
    <w:rsid w:val="0051354E"/>
    <w:rsid w:val="005138C7"/>
    <w:rsid w:val="00513A38"/>
    <w:rsid w:val="00513BF6"/>
    <w:rsid w:val="00513CCD"/>
    <w:rsid w:val="00513D7A"/>
    <w:rsid w:val="00513F42"/>
    <w:rsid w:val="00513FDC"/>
    <w:rsid w:val="0051472E"/>
    <w:rsid w:val="005149D5"/>
    <w:rsid w:val="005150D5"/>
    <w:rsid w:val="00515251"/>
    <w:rsid w:val="0051572A"/>
    <w:rsid w:val="00515913"/>
    <w:rsid w:val="005161AC"/>
    <w:rsid w:val="0051686C"/>
    <w:rsid w:val="0051695F"/>
    <w:rsid w:val="00516F2B"/>
    <w:rsid w:val="005171FD"/>
    <w:rsid w:val="00517554"/>
    <w:rsid w:val="005175C6"/>
    <w:rsid w:val="005177C5"/>
    <w:rsid w:val="00517C80"/>
    <w:rsid w:val="00517F33"/>
    <w:rsid w:val="00517FA8"/>
    <w:rsid w:val="00520000"/>
    <w:rsid w:val="0052015B"/>
    <w:rsid w:val="005201DE"/>
    <w:rsid w:val="00520222"/>
    <w:rsid w:val="005204B9"/>
    <w:rsid w:val="00520890"/>
    <w:rsid w:val="00520AD2"/>
    <w:rsid w:val="00521288"/>
    <w:rsid w:val="0052145D"/>
    <w:rsid w:val="0052225B"/>
    <w:rsid w:val="00522435"/>
    <w:rsid w:val="005229E6"/>
    <w:rsid w:val="00522BBC"/>
    <w:rsid w:val="00522BDB"/>
    <w:rsid w:val="00522C17"/>
    <w:rsid w:val="00523032"/>
    <w:rsid w:val="00523083"/>
    <w:rsid w:val="005234A1"/>
    <w:rsid w:val="00523511"/>
    <w:rsid w:val="00523944"/>
    <w:rsid w:val="00523A8B"/>
    <w:rsid w:val="00523D7D"/>
    <w:rsid w:val="005241CE"/>
    <w:rsid w:val="00524663"/>
    <w:rsid w:val="005252AD"/>
    <w:rsid w:val="00525396"/>
    <w:rsid w:val="00525572"/>
    <w:rsid w:val="00525CB8"/>
    <w:rsid w:val="00525D79"/>
    <w:rsid w:val="00525FB5"/>
    <w:rsid w:val="00525FF2"/>
    <w:rsid w:val="00526269"/>
    <w:rsid w:val="0052675C"/>
    <w:rsid w:val="00526B3A"/>
    <w:rsid w:val="00526C1E"/>
    <w:rsid w:val="0052718B"/>
    <w:rsid w:val="005273B0"/>
    <w:rsid w:val="005273B6"/>
    <w:rsid w:val="00527866"/>
    <w:rsid w:val="005278F6"/>
    <w:rsid w:val="00527A0B"/>
    <w:rsid w:val="00527D48"/>
    <w:rsid w:val="005300A6"/>
    <w:rsid w:val="00530C07"/>
    <w:rsid w:val="00530F10"/>
    <w:rsid w:val="00531705"/>
    <w:rsid w:val="005318F1"/>
    <w:rsid w:val="00531B22"/>
    <w:rsid w:val="00531BB6"/>
    <w:rsid w:val="00531CBF"/>
    <w:rsid w:val="00531D7C"/>
    <w:rsid w:val="00531DA3"/>
    <w:rsid w:val="00531E70"/>
    <w:rsid w:val="0053210E"/>
    <w:rsid w:val="00532131"/>
    <w:rsid w:val="0053220A"/>
    <w:rsid w:val="00532222"/>
    <w:rsid w:val="00532236"/>
    <w:rsid w:val="00532301"/>
    <w:rsid w:val="00532D01"/>
    <w:rsid w:val="005331A2"/>
    <w:rsid w:val="005336AA"/>
    <w:rsid w:val="00533A6A"/>
    <w:rsid w:val="00533EBF"/>
    <w:rsid w:val="00533FC9"/>
    <w:rsid w:val="00534712"/>
    <w:rsid w:val="0053496B"/>
    <w:rsid w:val="00534A33"/>
    <w:rsid w:val="005354F3"/>
    <w:rsid w:val="00535569"/>
    <w:rsid w:val="0053597D"/>
    <w:rsid w:val="00535A55"/>
    <w:rsid w:val="00535A9E"/>
    <w:rsid w:val="00535CA1"/>
    <w:rsid w:val="00536517"/>
    <w:rsid w:val="0053688D"/>
    <w:rsid w:val="00536918"/>
    <w:rsid w:val="00536BD2"/>
    <w:rsid w:val="00536EBB"/>
    <w:rsid w:val="005379C5"/>
    <w:rsid w:val="005379EE"/>
    <w:rsid w:val="00537BA8"/>
    <w:rsid w:val="00537D43"/>
    <w:rsid w:val="00540362"/>
    <w:rsid w:val="00540C2E"/>
    <w:rsid w:val="005413EA"/>
    <w:rsid w:val="00541C35"/>
    <w:rsid w:val="00541F87"/>
    <w:rsid w:val="00541FD9"/>
    <w:rsid w:val="00542262"/>
    <w:rsid w:val="0054277C"/>
    <w:rsid w:val="00542FA6"/>
    <w:rsid w:val="00542FE0"/>
    <w:rsid w:val="005432CA"/>
    <w:rsid w:val="005436F2"/>
    <w:rsid w:val="00543A8F"/>
    <w:rsid w:val="00543C00"/>
    <w:rsid w:val="00543C2E"/>
    <w:rsid w:val="00543C65"/>
    <w:rsid w:val="00543F1F"/>
    <w:rsid w:val="00543F94"/>
    <w:rsid w:val="0054486B"/>
    <w:rsid w:val="00544878"/>
    <w:rsid w:val="00544973"/>
    <w:rsid w:val="00544CF7"/>
    <w:rsid w:val="00544DAD"/>
    <w:rsid w:val="00544E75"/>
    <w:rsid w:val="005450BF"/>
    <w:rsid w:val="00545264"/>
    <w:rsid w:val="0054588D"/>
    <w:rsid w:val="00545A78"/>
    <w:rsid w:val="00545C2E"/>
    <w:rsid w:val="00546188"/>
    <w:rsid w:val="005464E8"/>
    <w:rsid w:val="0054688D"/>
    <w:rsid w:val="00546A52"/>
    <w:rsid w:val="00546E2C"/>
    <w:rsid w:val="00546E42"/>
    <w:rsid w:val="00547232"/>
    <w:rsid w:val="00547C24"/>
    <w:rsid w:val="00547E51"/>
    <w:rsid w:val="00547F10"/>
    <w:rsid w:val="00550330"/>
    <w:rsid w:val="00550418"/>
    <w:rsid w:val="00550BCC"/>
    <w:rsid w:val="00551652"/>
    <w:rsid w:val="00551AF1"/>
    <w:rsid w:val="00551B5D"/>
    <w:rsid w:val="00551B86"/>
    <w:rsid w:val="00551DB2"/>
    <w:rsid w:val="00552842"/>
    <w:rsid w:val="0055301E"/>
    <w:rsid w:val="0055319A"/>
    <w:rsid w:val="005537AC"/>
    <w:rsid w:val="005538A6"/>
    <w:rsid w:val="00553B56"/>
    <w:rsid w:val="00553D86"/>
    <w:rsid w:val="005541AD"/>
    <w:rsid w:val="00554285"/>
    <w:rsid w:val="00554456"/>
    <w:rsid w:val="005546B3"/>
    <w:rsid w:val="00554705"/>
    <w:rsid w:val="00554B9D"/>
    <w:rsid w:val="00554EA4"/>
    <w:rsid w:val="00555386"/>
    <w:rsid w:val="005555B7"/>
    <w:rsid w:val="005558AC"/>
    <w:rsid w:val="00555C03"/>
    <w:rsid w:val="00555E77"/>
    <w:rsid w:val="00555FB0"/>
    <w:rsid w:val="0055608D"/>
    <w:rsid w:val="00556109"/>
    <w:rsid w:val="00556C08"/>
    <w:rsid w:val="00556D30"/>
    <w:rsid w:val="00556DD6"/>
    <w:rsid w:val="00557182"/>
    <w:rsid w:val="0055751C"/>
    <w:rsid w:val="0055757D"/>
    <w:rsid w:val="0055779F"/>
    <w:rsid w:val="00557917"/>
    <w:rsid w:val="00557937"/>
    <w:rsid w:val="0056006F"/>
    <w:rsid w:val="005601A3"/>
    <w:rsid w:val="005602A5"/>
    <w:rsid w:val="0056061A"/>
    <w:rsid w:val="00560CDC"/>
    <w:rsid w:val="00560DD4"/>
    <w:rsid w:val="00560F78"/>
    <w:rsid w:val="005611F3"/>
    <w:rsid w:val="00561821"/>
    <w:rsid w:val="00562019"/>
    <w:rsid w:val="0056231C"/>
    <w:rsid w:val="0056250D"/>
    <w:rsid w:val="005629D6"/>
    <w:rsid w:val="00562F65"/>
    <w:rsid w:val="00563207"/>
    <w:rsid w:val="0056363E"/>
    <w:rsid w:val="00563930"/>
    <w:rsid w:val="00563A6C"/>
    <w:rsid w:val="00564947"/>
    <w:rsid w:val="00564A03"/>
    <w:rsid w:val="00564C96"/>
    <w:rsid w:val="00564EF1"/>
    <w:rsid w:val="0056523E"/>
    <w:rsid w:val="005656EF"/>
    <w:rsid w:val="005658E1"/>
    <w:rsid w:val="00565A72"/>
    <w:rsid w:val="00565D23"/>
    <w:rsid w:val="00566262"/>
    <w:rsid w:val="0056637B"/>
    <w:rsid w:val="00566FA4"/>
    <w:rsid w:val="00567461"/>
    <w:rsid w:val="0056762B"/>
    <w:rsid w:val="00567669"/>
    <w:rsid w:val="00567766"/>
    <w:rsid w:val="005677BF"/>
    <w:rsid w:val="00567A61"/>
    <w:rsid w:val="00570551"/>
    <w:rsid w:val="00570774"/>
    <w:rsid w:val="00570DC4"/>
    <w:rsid w:val="005711A0"/>
    <w:rsid w:val="005713E8"/>
    <w:rsid w:val="00571743"/>
    <w:rsid w:val="00571C70"/>
    <w:rsid w:val="00571F84"/>
    <w:rsid w:val="005721E6"/>
    <w:rsid w:val="00572358"/>
    <w:rsid w:val="00572442"/>
    <w:rsid w:val="00572CCD"/>
    <w:rsid w:val="00572E9D"/>
    <w:rsid w:val="00572EBC"/>
    <w:rsid w:val="00573176"/>
    <w:rsid w:val="0057319E"/>
    <w:rsid w:val="005734AD"/>
    <w:rsid w:val="0057363A"/>
    <w:rsid w:val="0057363C"/>
    <w:rsid w:val="00573824"/>
    <w:rsid w:val="00573DDB"/>
    <w:rsid w:val="00574103"/>
    <w:rsid w:val="00574292"/>
    <w:rsid w:val="00574466"/>
    <w:rsid w:val="005744B6"/>
    <w:rsid w:val="00574704"/>
    <w:rsid w:val="00574A50"/>
    <w:rsid w:val="00574ABC"/>
    <w:rsid w:val="00574D8E"/>
    <w:rsid w:val="0057532A"/>
    <w:rsid w:val="0057548B"/>
    <w:rsid w:val="005758B3"/>
    <w:rsid w:val="005759FD"/>
    <w:rsid w:val="0057697B"/>
    <w:rsid w:val="00576BA5"/>
    <w:rsid w:val="00576BE2"/>
    <w:rsid w:val="00576D45"/>
    <w:rsid w:val="00576E72"/>
    <w:rsid w:val="00576FF3"/>
    <w:rsid w:val="0057705B"/>
    <w:rsid w:val="00577087"/>
    <w:rsid w:val="00577266"/>
    <w:rsid w:val="00577889"/>
    <w:rsid w:val="00577948"/>
    <w:rsid w:val="00577A44"/>
    <w:rsid w:val="00577E4B"/>
    <w:rsid w:val="00580561"/>
    <w:rsid w:val="005809A1"/>
    <w:rsid w:val="00580ADE"/>
    <w:rsid w:val="00580F7D"/>
    <w:rsid w:val="00581199"/>
    <w:rsid w:val="00581797"/>
    <w:rsid w:val="0058186E"/>
    <w:rsid w:val="00581B06"/>
    <w:rsid w:val="00581EB0"/>
    <w:rsid w:val="00582042"/>
    <w:rsid w:val="0058255C"/>
    <w:rsid w:val="00582667"/>
    <w:rsid w:val="00582800"/>
    <w:rsid w:val="005829B6"/>
    <w:rsid w:val="005830BF"/>
    <w:rsid w:val="00583501"/>
    <w:rsid w:val="0058392F"/>
    <w:rsid w:val="00583AA9"/>
    <w:rsid w:val="00583EB3"/>
    <w:rsid w:val="00584313"/>
    <w:rsid w:val="0058432C"/>
    <w:rsid w:val="005844D8"/>
    <w:rsid w:val="0058472B"/>
    <w:rsid w:val="00584743"/>
    <w:rsid w:val="00584898"/>
    <w:rsid w:val="00584D96"/>
    <w:rsid w:val="00585650"/>
    <w:rsid w:val="00585652"/>
    <w:rsid w:val="005856F6"/>
    <w:rsid w:val="00585D48"/>
    <w:rsid w:val="005862BD"/>
    <w:rsid w:val="005862F6"/>
    <w:rsid w:val="00586380"/>
    <w:rsid w:val="005867E0"/>
    <w:rsid w:val="00586A0D"/>
    <w:rsid w:val="00586BF2"/>
    <w:rsid w:val="00586C19"/>
    <w:rsid w:val="00586EBA"/>
    <w:rsid w:val="005870C1"/>
    <w:rsid w:val="005876A1"/>
    <w:rsid w:val="005877F8"/>
    <w:rsid w:val="00587C4B"/>
    <w:rsid w:val="00587DF6"/>
    <w:rsid w:val="00587E51"/>
    <w:rsid w:val="00590466"/>
    <w:rsid w:val="00590801"/>
    <w:rsid w:val="00590DCB"/>
    <w:rsid w:val="00591309"/>
    <w:rsid w:val="005918DF"/>
    <w:rsid w:val="00591AB0"/>
    <w:rsid w:val="005922F6"/>
    <w:rsid w:val="005925FD"/>
    <w:rsid w:val="00592FAF"/>
    <w:rsid w:val="00593687"/>
    <w:rsid w:val="00593866"/>
    <w:rsid w:val="005938D4"/>
    <w:rsid w:val="00594038"/>
    <w:rsid w:val="0059432F"/>
    <w:rsid w:val="0059456C"/>
    <w:rsid w:val="0059459F"/>
    <w:rsid w:val="005946CA"/>
    <w:rsid w:val="005947C4"/>
    <w:rsid w:val="00594CCC"/>
    <w:rsid w:val="00594FD6"/>
    <w:rsid w:val="005955DB"/>
    <w:rsid w:val="00595681"/>
    <w:rsid w:val="00595C8A"/>
    <w:rsid w:val="00595D17"/>
    <w:rsid w:val="0059623D"/>
    <w:rsid w:val="005962EB"/>
    <w:rsid w:val="0059651E"/>
    <w:rsid w:val="00596785"/>
    <w:rsid w:val="00596793"/>
    <w:rsid w:val="005967CD"/>
    <w:rsid w:val="00596DFC"/>
    <w:rsid w:val="00596F6B"/>
    <w:rsid w:val="0059715A"/>
    <w:rsid w:val="00597187"/>
    <w:rsid w:val="005972C2"/>
    <w:rsid w:val="005972F1"/>
    <w:rsid w:val="0059745F"/>
    <w:rsid w:val="005979AD"/>
    <w:rsid w:val="00597ADA"/>
    <w:rsid w:val="00597BAE"/>
    <w:rsid w:val="00597D21"/>
    <w:rsid w:val="00597D8E"/>
    <w:rsid w:val="005A0555"/>
    <w:rsid w:val="005A0901"/>
    <w:rsid w:val="005A10E7"/>
    <w:rsid w:val="005A14BB"/>
    <w:rsid w:val="005A16B3"/>
    <w:rsid w:val="005A17FC"/>
    <w:rsid w:val="005A196D"/>
    <w:rsid w:val="005A1D8C"/>
    <w:rsid w:val="005A1DE3"/>
    <w:rsid w:val="005A2481"/>
    <w:rsid w:val="005A24FD"/>
    <w:rsid w:val="005A26F7"/>
    <w:rsid w:val="005A2C83"/>
    <w:rsid w:val="005A2EA2"/>
    <w:rsid w:val="005A2F27"/>
    <w:rsid w:val="005A3519"/>
    <w:rsid w:val="005A3553"/>
    <w:rsid w:val="005A3710"/>
    <w:rsid w:val="005A3A24"/>
    <w:rsid w:val="005A4A94"/>
    <w:rsid w:val="005A4E69"/>
    <w:rsid w:val="005A518C"/>
    <w:rsid w:val="005A559A"/>
    <w:rsid w:val="005A5724"/>
    <w:rsid w:val="005A5913"/>
    <w:rsid w:val="005A603D"/>
    <w:rsid w:val="005A613E"/>
    <w:rsid w:val="005A6175"/>
    <w:rsid w:val="005A61B7"/>
    <w:rsid w:val="005A62A2"/>
    <w:rsid w:val="005A6761"/>
    <w:rsid w:val="005A6B99"/>
    <w:rsid w:val="005A6E5D"/>
    <w:rsid w:val="005A70E6"/>
    <w:rsid w:val="005A72C7"/>
    <w:rsid w:val="005A72FC"/>
    <w:rsid w:val="005A74BE"/>
    <w:rsid w:val="005A76D5"/>
    <w:rsid w:val="005A7B7B"/>
    <w:rsid w:val="005A7E06"/>
    <w:rsid w:val="005B0351"/>
    <w:rsid w:val="005B04BC"/>
    <w:rsid w:val="005B061D"/>
    <w:rsid w:val="005B0F2D"/>
    <w:rsid w:val="005B1108"/>
    <w:rsid w:val="005B1536"/>
    <w:rsid w:val="005B1F09"/>
    <w:rsid w:val="005B223C"/>
    <w:rsid w:val="005B274C"/>
    <w:rsid w:val="005B28E6"/>
    <w:rsid w:val="005B2984"/>
    <w:rsid w:val="005B29A6"/>
    <w:rsid w:val="005B2B60"/>
    <w:rsid w:val="005B2ED3"/>
    <w:rsid w:val="005B31F6"/>
    <w:rsid w:val="005B33BE"/>
    <w:rsid w:val="005B3559"/>
    <w:rsid w:val="005B3AEB"/>
    <w:rsid w:val="005B3D37"/>
    <w:rsid w:val="005B4457"/>
    <w:rsid w:val="005B4577"/>
    <w:rsid w:val="005B4620"/>
    <w:rsid w:val="005B468C"/>
    <w:rsid w:val="005B4859"/>
    <w:rsid w:val="005B487D"/>
    <w:rsid w:val="005B4B18"/>
    <w:rsid w:val="005B53EF"/>
    <w:rsid w:val="005B57D6"/>
    <w:rsid w:val="005B5E15"/>
    <w:rsid w:val="005B60BC"/>
    <w:rsid w:val="005B62AA"/>
    <w:rsid w:val="005B65F1"/>
    <w:rsid w:val="005B66A7"/>
    <w:rsid w:val="005B6AE4"/>
    <w:rsid w:val="005B6C8B"/>
    <w:rsid w:val="005B6FCB"/>
    <w:rsid w:val="005B7357"/>
    <w:rsid w:val="005B78AF"/>
    <w:rsid w:val="005B7908"/>
    <w:rsid w:val="005B79CD"/>
    <w:rsid w:val="005B7ED5"/>
    <w:rsid w:val="005B7F7A"/>
    <w:rsid w:val="005B7FE9"/>
    <w:rsid w:val="005C04F8"/>
    <w:rsid w:val="005C0571"/>
    <w:rsid w:val="005C05DF"/>
    <w:rsid w:val="005C0787"/>
    <w:rsid w:val="005C07FD"/>
    <w:rsid w:val="005C0876"/>
    <w:rsid w:val="005C09EF"/>
    <w:rsid w:val="005C0D27"/>
    <w:rsid w:val="005C10D1"/>
    <w:rsid w:val="005C1248"/>
    <w:rsid w:val="005C13B5"/>
    <w:rsid w:val="005C1446"/>
    <w:rsid w:val="005C17A6"/>
    <w:rsid w:val="005C1C74"/>
    <w:rsid w:val="005C222B"/>
    <w:rsid w:val="005C26A6"/>
    <w:rsid w:val="005C2811"/>
    <w:rsid w:val="005C28A9"/>
    <w:rsid w:val="005C2C68"/>
    <w:rsid w:val="005C2DA9"/>
    <w:rsid w:val="005C2E4B"/>
    <w:rsid w:val="005C2F92"/>
    <w:rsid w:val="005C3097"/>
    <w:rsid w:val="005C312D"/>
    <w:rsid w:val="005C3183"/>
    <w:rsid w:val="005C3638"/>
    <w:rsid w:val="005C38CC"/>
    <w:rsid w:val="005C39C5"/>
    <w:rsid w:val="005C3ADC"/>
    <w:rsid w:val="005C3F31"/>
    <w:rsid w:val="005C4314"/>
    <w:rsid w:val="005C4562"/>
    <w:rsid w:val="005C4885"/>
    <w:rsid w:val="005C4932"/>
    <w:rsid w:val="005C4F4D"/>
    <w:rsid w:val="005C56F5"/>
    <w:rsid w:val="005C5833"/>
    <w:rsid w:val="005C5AE1"/>
    <w:rsid w:val="005C5BEE"/>
    <w:rsid w:val="005C5C20"/>
    <w:rsid w:val="005C652C"/>
    <w:rsid w:val="005C66F0"/>
    <w:rsid w:val="005C679E"/>
    <w:rsid w:val="005C6C43"/>
    <w:rsid w:val="005C6CA8"/>
    <w:rsid w:val="005C6CBF"/>
    <w:rsid w:val="005C6E20"/>
    <w:rsid w:val="005C7015"/>
    <w:rsid w:val="005C7295"/>
    <w:rsid w:val="005C73A3"/>
    <w:rsid w:val="005C7754"/>
    <w:rsid w:val="005C7F8D"/>
    <w:rsid w:val="005D00E8"/>
    <w:rsid w:val="005D00EE"/>
    <w:rsid w:val="005D02A9"/>
    <w:rsid w:val="005D035A"/>
    <w:rsid w:val="005D1585"/>
    <w:rsid w:val="005D15F5"/>
    <w:rsid w:val="005D17DC"/>
    <w:rsid w:val="005D1AD8"/>
    <w:rsid w:val="005D212E"/>
    <w:rsid w:val="005D22D4"/>
    <w:rsid w:val="005D26CA"/>
    <w:rsid w:val="005D291B"/>
    <w:rsid w:val="005D2B36"/>
    <w:rsid w:val="005D2D8B"/>
    <w:rsid w:val="005D2F39"/>
    <w:rsid w:val="005D3839"/>
    <w:rsid w:val="005D385C"/>
    <w:rsid w:val="005D3A7F"/>
    <w:rsid w:val="005D3BF2"/>
    <w:rsid w:val="005D3D7D"/>
    <w:rsid w:val="005D410B"/>
    <w:rsid w:val="005D4239"/>
    <w:rsid w:val="005D448C"/>
    <w:rsid w:val="005D4645"/>
    <w:rsid w:val="005D4884"/>
    <w:rsid w:val="005D49FB"/>
    <w:rsid w:val="005D4D74"/>
    <w:rsid w:val="005D5206"/>
    <w:rsid w:val="005D544F"/>
    <w:rsid w:val="005D5780"/>
    <w:rsid w:val="005D5BB3"/>
    <w:rsid w:val="005D5E2C"/>
    <w:rsid w:val="005D5F28"/>
    <w:rsid w:val="005D62DA"/>
    <w:rsid w:val="005D66DC"/>
    <w:rsid w:val="005D69DF"/>
    <w:rsid w:val="005D6AA8"/>
    <w:rsid w:val="005D6B31"/>
    <w:rsid w:val="005D6D03"/>
    <w:rsid w:val="005D765B"/>
    <w:rsid w:val="005D7709"/>
    <w:rsid w:val="005D7771"/>
    <w:rsid w:val="005D7836"/>
    <w:rsid w:val="005D78EB"/>
    <w:rsid w:val="005D7A89"/>
    <w:rsid w:val="005D7B14"/>
    <w:rsid w:val="005D7CE5"/>
    <w:rsid w:val="005D7DF4"/>
    <w:rsid w:val="005E04D6"/>
    <w:rsid w:val="005E09CB"/>
    <w:rsid w:val="005E0D52"/>
    <w:rsid w:val="005E0E25"/>
    <w:rsid w:val="005E12F0"/>
    <w:rsid w:val="005E13FB"/>
    <w:rsid w:val="005E15EA"/>
    <w:rsid w:val="005E199F"/>
    <w:rsid w:val="005E1A3A"/>
    <w:rsid w:val="005E1E86"/>
    <w:rsid w:val="005E1EB2"/>
    <w:rsid w:val="005E24DB"/>
    <w:rsid w:val="005E26D9"/>
    <w:rsid w:val="005E2B53"/>
    <w:rsid w:val="005E2C18"/>
    <w:rsid w:val="005E2F8D"/>
    <w:rsid w:val="005E3027"/>
    <w:rsid w:val="005E31B2"/>
    <w:rsid w:val="005E3B93"/>
    <w:rsid w:val="005E3CC2"/>
    <w:rsid w:val="005E3E6C"/>
    <w:rsid w:val="005E4018"/>
    <w:rsid w:val="005E4319"/>
    <w:rsid w:val="005E4428"/>
    <w:rsid w:val="005E44C3"/>
    <w:rsid w:val="005E4CA1"/>
    <w:rsid w:val="005E4EC7"/>
    <w:rsid w:val="005E5086"/>
    <w:rsid w:val="005E54A7"/>
    <w:rsid w:val="005E5545"/>
    <w:rsid w:val="005E5597"/>
    <w:rsid w:val="005E5602"/>
    <w:rsid w:val="005E5701"/>
    <w:rsid w:val="005E5CBC"/>
    <w:rsid w:val="005E5D85"/>
    <w:rsid w:val="005E61BF"/>
    <w:rsid w:val="005E6484"/>
    <w:rsid w:val="005E67EB"/>
    <w:rsid w:val="005E6B24"/>
    <w:rsid w:val="005E6D25"/>
    <w:rsid w:val="005E6D75"/>
    <w:rsid w:val="005E6EF0"/>
    <w:rsid w:val="005E7113"/>
    <w:rsid w:val="005E7497"/>
    <w:rsid w:val="005E7746"/>
    <w:rsid w:val="005F02BE"/>
    <w:rsid w:val="005F05BC"/>
    <w:rsid w:val="005F06D0"/>
    <w:rsid w:val="005F08F5"/>
    <w:rsid w:val="005F0C10"/>
    <w:rsid w:val="005F0F0E"/>
    <w:rsid w:val="005F10F2"/>
    <w:rsid w:val="005F1F34"/>
    <w:rsid w:val="005F26E0"/>
    <w:rsid w:val="005F28CA"/>
    <w:rsid w:val="005F306A"/>
    <w:rsid w:val="005F3202"/>
    <w:rsid w:val="005F329A"/>
    <w:rsid w:val="005F34AC"/>
    <w:rsid w:val="005F39EE"/>
    <w:rsid w:val="005F4502"/>
    <w:rsid w:val="005F45F2"/>
    <w:rsid w:val="005F4838"/>
    <w:rsid w:val="005F48A2"/>
    <w:rsid w:val="005F4A48"/>
    <w:rsid w:val="005F531C"/>
    <w:rsid w:val="005F5C37"/>
    <w:rsid w:val="005F5D71"/>
    <w:rsid w:val="005F6798"/>
    <w:rsid w:val="005F68C6"/>
    <w:rsid w:val="005F699A"/>
    <w:rsid w:val="005F6C5D"/>
    <w:rsid w:val="005F6DD1"/>
    <w:rsid w:val="005F700B"/>
    <w:rsid w:val="005F711E"/>
    <w:rsid w:val="005F738B"/>
    <w:rsid w:val="005F791A"/>
    <w:rsid w:val="005F79A3"/>
    <w:rsid w:val="005F7BC7"/>
    <w:rsid w:val="005F7FC7"/>
    <w:rsid w:val="006001EE"/>
    <w:rsid w:val="00600CDB"/>
    <w:rsid w:val="00600D78"/>
    <w:rsid w:val="00600ED8"/>
    <w:rsid w:val="006011D8"/>
    <w:rsid w:val="006014DF"/>
    <w:rsid w:val="00601622"/>
    <w:rsid w:val="00601907"/>
    <w:rsid w:val="00601BD7"/>
    <w:rsid w:val="00601C12"/>
    <w:rsid w:val="00601C97"/>
    <w:rsid w:val="00602191"/>
    <w:rsid w:val="006025BC"/>
    <w:rsid w:val="006026B6"/>
    <w:rsid w:val="006028C2"/>
    <w:rsid w:val="00602926"/>
    <w:rsid w:val="00602FF0"/>
    <w:rsid w:val="006031AC"/>
    <w:rsid w:val="0060326F"/>
    <w:rsid w:val="006033E9"/>
    <w:rsid w:val="00603744"/>
    <w:rsid w:val="006037D3"/>
    <w:rsid w:val="00603A08"/>
    <w:rsid w:val="00604C90"/>
    <w:rsid w:val="00604CC5"/>
    <w:rsid w:val="0060589A"/>
    <w:rsid w:val="00605A37"/>
    <w:rsid w:val="00605E5C"/>
    <w:rsid w:val="00606315"/>
    <w:rsid w:val="0060663B"/>
    <w:rsid w:val="00606800"/>
    <w:rsid w:val="0060699A"/>
    <w:rsid w:val="00607117"/>
    <w:rsid w:val="00607176"/>
    <w:rsid w:val="00607C23"/>
    <w:rsid w:val="006102E2"/>
    <w:rsid w:val="00610743"/>
    <w:rsid w:val="00610AA7"/>
    <w:rsid w:val="00610C10"/>
    <w:rsid w:val="00610C34"/>
    <w:rsid w:val="00610ECB"/>
    <w:rsid w:val="006112AD"/>
    <w:rsid w:val="006115C1"/>
    <w:rsid w:val="00611669"/>
    <w:rsid w:val="00611750"/>
    <w:rsid w:val="00611C20"/>
    <w:rsid w:val="00611E0F"/>
    <w:rsid w:val="00612058"/>
    <w:rsid w:val="006125CA"/>
    <w:rsid w:val="006131DA"/>
    <w:rsid w:val="00613396"/>
    <w:rsid w:val="00613403"/>
    <w:rsid w:val="006137CE"/>
    <w:rsid w:val="00613856"/>
    <w:rsid w:val="00614071"/>
    <w:rsid w:val="00614364"/>
    <w:rsid w:val="00614DC4"/>
    <w:rsid w:val="00614E4C"/>
    <w:rsid w:val="00614E7B"/>
    <w:rsid w:val="0061543A"/>
    <w:rsid w:val="006158D9"/>
    <w:rsid w:val="00615960"/>
    <w:rsid w:val="00615C50"/>
    <w:rsid w:val="00616168"/>
    <w:rsid w:val="00616196"/>
    <w:rsid w:val="00616430"/>
    <w:rsid w:val="00616466"/>
    <w:rsid w:val="00616566"/>
    <w:rsid w:val="006171E3"/>
    <w:rsid w:val="0061740B"/>
    <w:rsid w:val="006174F8"/>
    <w:rsid w:val="00617AF8"/>
    <w:rsid w:val="00617BB4"/>
    <w:rsid w:val="0062007D"/>
    <w:rsid w:val="0062060F"/>
    <w:rsid w:val="00620793"/>
    <w:rsid w:val="00620843"/>
    <w:rsid w:val="00620F07"/>
    <w:rsid w:val="00621024"/>
    <w:rsid w:val="0062112F"/>
    <w:rsid w:val="006212AD"/>
    <w:rsid w:val="0062194C"/>
    <w:rsid w:val="006219CF"/>
    <w:rsid w:val="00621B68"/>
    <w:rsid w:val="00621C8D"/>
    <w:rsid w:val="006220E9"/>
    <w:rsid w:val="006223D7"/>
    <w:rsid w:val="006224A3"/>
    <w:rsid w:val="0062255D"/>
    <w:rsid w:val="0062260F"/>
    <w:rsid w:val="0062267C"/>
    <w:rsid w:val="006227A2"/>
    <w:rsid w:val="006227DA"/>
    <w:rsid w:val="00622C57"/>
    <w:rsid w:val="00622CA1"/>
    <w:rsid w:val="00622E8A"/>
    <w:rsid w:val="00623644"/>
    <w:rsid w:val="006236B2"/>
    <w:rsid w:val="00623754"/>
    <w:rsid w:val="00623BED"/>
    <w:rsid w:val="00623C3F"/>
    <w:rsid w:val="0062419A"/>
    <w:rsid w:val="006242ED"/>
    <w:rsid w:val="00624694"/>
    <w:rsid w:val="00624879"/>
    <w:rsid w:val="006248B5"/>
    <w:rsid w:val="00624B10"/>
    <w:rsid w:val="00624F6C"/>
    <w:rsid w:val="006259CB"/>
    <w:rsid w:val="00625D46"/>
    <w:rsid w:val="00625F02"/>
    <w:rsid w:val="0062629E"/>
    <w:rsid w:val="00626663"/>
    <w:rsid w:val="00626C43"/>
    <w:rsid w:val="00627158"/>
    <w:rsid w:val="006272A2"/>
    <w:rsid w:val="00627D41"/>
    <w:rsid w:val="00627DF7"/>
    <w:rsid w:val="00627E5B"/>
    <w:rsid w:val="00627E72"/>
    <w:rsid w:val="00627F77"/>
    <w:rsid w:val="00627FE4"/>
    <w:rsid w:val="00630776"/>
    <w:rsid w:val="00630DC6"/>
    <w:rsid w:val="006312E2"/>
    <w:rsid w:val="00631378"/>
    <w:rsid w:val="006313D8"/>
    <w:rsid w:val="006314B9"/>
    <w:rsid w:val="00631810"/>
    <w:rsid w:val="006318F9"/>
    <w:rsid w:val="00631B38"/>
    <w:rsid w:val="00631F84"/>
    <w:rsid w:val="0063213E"/>
    <w:rsid w:val="00632330"/>
    <w:rsid w:val="006323B2"/>
    <w:rsid w:val="0063275C"/>
    <w:rsid w:val="006327CC"/>
    <w:rsid w:val="00632891"/>
    <w:rsid w:val="00632A09"/>
    <w:rsid w:val="00632FA4"/>
    <w:rsid w:val="006334F6"/>
    <w:rsid w:val="00633810"/>
    <w:rsid w:val="00633814"/>
    <w:rsid w:val="00633C69"/>
    <w:rsid w:val="00633D13"/>
    <w:rsid w:val="00633D93"/>
    <w:rsid w:val="00633E00"/>
    <w:rsid w:val="00634282"/>
    <w:rsid w:val="0063431A"/>
    <w:rsid w:val="0063445B"/>
    <w:rsid w:val="006344BF"/>
    <w:rsid w:val="0063493A"/>
    <w:rsid w:val="00634ACD"/>
    <w:rsid w:val="00634E14"/>
    <w:rsid w:val="00635A64"/>
    <w:rsid w:val="00635E61"/>
    <w:rsid w:val="00636B07"/>
    <w:rsid w:val="00636E09"/>
    <w:rsid w:val="00636F93"/>
    <w:rsid w:val="00637162"/>
    <w:rsid w:val="00637418"/>
    <w:rsid w:val="0063752F"/>
    <w:rsid w:val="00637740"/>
    <w:rsid w:val="00637889"/>
    <w:rsid w:val="00637933"/>
    <w:rsid w:val="00637E82"/>
    <w:rsid w:val="006401E7"/>
    <w:rsid w:val="00640444"/>
    <w:rsid w:val="006406EA"/>
    <w:rsid w:val="00640964"/>
    <w:rsid w:val="00640F16"/>
    <w:rsid w:val="00641035"/>
    <w:rsid w:val="006411B8"/>
    <w:rsid w:val="00641440"/>
    <w:rsid w:val="00641527"/>
    <w:rsid w:val="006416B8"/>
    <w:rsid w:val="006419ED"/>
    <w:rsid w:val="00641E1F"/>
    <w:rsid w:val="00642001"/>
    <w:rsid w:val="0064288D"/>
    <w:rsid w:val="00642AB9"/>
    <w:rsid w:val="00642E85"/>
    <w:rsid w:val="00642FB5"/>
    <w:rsid w:val="00643349"/>
    <w:rsid w:val="0064390B"/>
    <w:rsid w:val="00643BF3"/>
    <w:rsid w:val="00643C23"/>
    <w:rsid w:val="00644254"/>
    <w:rsid w:val="006443EF"/>
    <w:rsid w:val="00644DC2"/>
    <w:rsid w:val="0064556F"/>
    <w:rsid w:val="00645679"/>
    <w:rsid w:val="006457CD"/>
    <w:rsid w:val="006457DD"/>
    <w:rsid w:val="006457F3"/>
    <w:rsid w:val="00645E0F"/>
    <w:rsid w:val="00645E54"/>
    <w:rsid w:val="00645EEB"/>
    <w:rsid w:val="00645F0E"/>
    <w:rsid w:val="00646314"/>
    <w:rsid w:val="006466AF"/>
    <w:rsid w:val="00646707"/>
    <w:rsid w:val="0064672D"/>
    <w:rsid w:val="006468D0"/>
    <w:rsid w:val="00646948"/>
    <w:rsid w:val="00646BFD"/>
    <w:rsid w:val="00646CEE"/>
    <w:rsid w:val="00646E1E"/>
    <w:rsid w:val="00646ED9"/>
    <w:rsid w:val="00646F71"/>
    <w:rsid w:val="006474E4"/>
    <w:rsid w:val="00647573"/>
    <w:rsid w:val="00647782"/>
    <w:rsid w:val="006479D2"/>
    <w:rsid w:val="00647A71"/>
    <w:rsid w:val="00647B10"/>
    <w:rsid w:val="00650288"/>
    <w:rsid w:val="0065033C"/>
    <w:rsid w:val="0065048C"/>
    <w:rsid w:val="006505AA"/>
    <w:rsid w:val="00650D46"/>
    <w:rsid w:val="00650E34"/>
    <w:rsid w:val="0065130D"/>
    <w:rsid w:val="00651604"/>
    <w:rsid w:val="00651C00"/>
    <w:rsid w:val="00651CF0"/>
    <w:rsid w:val="00651D38"/>
    <w:rsid w:val="00651E13"/>
    <w:rsid w:val="00651E1E"/>
    <w:rsid w:val="00652599"/>
    <w:rsid w:val="006528B8"/>
    <w:rsid w:val="006529C3"/>
    <w:rsid w:val="0065335F"/>
    <w:rsid w:val="00653CB1"/>
    <w:rsid w:val="0065404D"/>
    <w:rsid w:val="006544C5"/>
    <w:rsid w:val="006547F7"/>
    <w:rsid w:val="00654982"/>
    <w:rsid w:val="00654D03"/>
    <w:rsid w:val="00654FC8"/>
    <w:rsid w:val="006555B9"/>
    <w:rsid w:val="006559F2"/>
    <w:rsid w:val="00655B32"/>
    <w:rsid w:val="00655D3D"/>
    <w:rsid w:val="00655FAA"/>
    <w:rsid w:val="00656064"/>
    <w:rsid w:val="00656953"/>
    <w:rsid w:val="00656963"/>
    <w:rsid w:val="00656F1B"/>
    <w:rsid w:val="006570C4"/>
    <w:rsid w:val="006571C9"/>
    <w:rsid w:val="0065730F"/>
    <w:rsid w:val="00657475"/>
    <w:rsid w:val="006576EA"/>
    <w:rsid w:val="00657B81"/>
    <w:rsid w:val="00657EE5"/>
    <w:rsid w:val="006600A3"/>
    <w:rsid w:val="006600D6"/>
    <w:rsid w:val="0066027F"/>
    <w:rsid w:val="00660329"/>
    <w:rsid w:val="00660B31"/>
    <w:rsid w:val="00660CD5"/>
    <w:rsid w:val="00660D2D"/>
    <w:rsid w:val="0066158F"/>
    <w:rsid w:val="0066181F"/>
    <w:rsid w:val="0066189C"/>
    <w:rsid w:val="00661949"/>
    <w:rsid w:val="00661AA2"/>
    <w:rsid w:val="00661BC5"/>
    <w:rsid w:val="0066210C"/>
    <w:rsid w:val="00662283"/>
    <w:rsid w:val="00662635"/>
    <w:rsid w:val="006626D1"/>
    <w:rsid w:val="006627FE"/>
    <w:rsid w:val="00662BCB"/>
    <w:rsid w:val="00662C1B"/>
    <w:rsid w:val="00662D24"/>
    <w:rsid w:val="006633FB"/>
    <w:rsid w:val="006636CE"/>
    <w:rsid w:val="00663771"/>
    <w:rsid w:val="00663811"/>
    <w:rsid w:val="00663A12"/>
    <w:rsid w:val="00663AC5"/>
    <w:rsid w:val="00663DDC"/>
    <w:rsid w:val="00663F4F"/>
    <w:rsid w:val="0066458D"/>
    <w:rsid w:val="00664E22"/>
    <w:rsid w:val="00665325"/>
    <w:rsid w:val="00665482"/>
    <w:rsid w:val="00665AE7"/>
    <w:rsid w:val="00666081"/>
    <w:rsid w:val="006663EB"/>
    <w:rsid w:val="006667D2"/>
    <w:rsid w:val="00666DDB"/>
    <w:rsid w:val="00666E65"/>
    <w:rsid w:val="00667176"/>
    <w:rsid w:val="00667492"/>
    <w:rsid w:val="00667EFC"/>
    <w:rsid w:val="00667F1E"/>
    <w:rsid w:val="00670193"/>
    <w:rsid w:val="006703AD"/>
    <w:rsid w:val="00670578"/>
    <w:rsid w:val="006707D9"/>
    <w:rsid w:val="006707EE"/>
    <w:rsid w:val="006709FC"/>
    <w:rsid w:val="00670E7D"/>
    <w:rsid w:val="006715FD"/>
    <w:rsid w:val="0067166B"/>
    <w:rsid w:val="00671AAF"/>
    <w:rsid w:val="00671AC8"/>
    <w:rsid w:val="00671EF6"/>
    <w:rsid w:val="00672141"/>
    <w:rsid w:val="006721EA"/>
    <w:rsid w:val="0067222E"/>
    <w:rsid w:val="00672378"/>
    <w:rsid w:val="006724B0"/>
    <w:rsid w:val="00672A92"/>
    <w:rsid w:val="00672E07"/>
    <w:rsid w:val="00673221"/>
    <w:rsid w:val="0067349C"/>
    <w:rsid w:val="00673507"/>
    <w:rsid w:val="00673DF1"/>
    <w:rsid w:val="006748C5"/>
    <w:rsid w:val="00674BAA"/>
    <w:rsid w:val="00674BE3"/>
    <w:rsid w:val="00674C23"/>
    <w:rsid w:val="00674F21"/>
    <w:rsid w:val="00675092"/>
    <w:rsid w:val="00675644"/>
    <w:rsid w:val="00675E7A"/>
    <w:rsid w:val="00675EBB"/>
    <w:rsid w:val="00676158"/>
    <w:rsid w:val="00676C86"/>
    <w:rsid w:val="00676D4A"/>
    <w:rsid w:val="00676EBA"/>
    <w:rsid w:val="00676F88"/>
    <w:rsid w:val="006773B3"/>
    <w:rsid w:val="00677745"/>
    <w:rsid w:val="00677ADD"/>
    <w:rsid w:val="00680925"/>
    <w:rsid w:val="00680966"/>
    <w:rsid w:val="00680E34"/>
    <w:rsid w:val="00680F08"/>
    <w:rsid w:val="006813A5"/>
    <w:rsid w:val="0068155E"/>
    <w:rsid w:val="00682241"/>
    <w:rsid w:val="006827B6"/>
    <w:rsid w:val="00682835"/>
    <w:rsid w:val="006830D0"/>
    <w:rsid w:val="00683247"/>
    <w:rsid w:val="0068331C"/>
    <w:rsid w:val="00683516"/>
    <w:rsid w:val="00683CAB"/>
    <w:rsid w:val="0068438B"/>
    <w:rsid w:val="0068494C"/>
    <w:rsid w:val="006851A1"/>
    <w:rsid w:val="0068561E"/>
    <w:rsid w:val="006856CA"/>
    <w:rsid w:val="006857BD"/>
    <w:rsid w:val="00685908"/>
    <w:rsid w:val="0068612F"/>
    <w:rsid w:val="0068649C"/>
    <w:rsid w:val="00686624"/>
    <w:rsid w:val="00686768"/>
    <w:rsid w:val="00686A55"/>
    <w:rsid w:val="00686D68"/>
    <w:rsid w:val="00687200"/>
    <w:rsid w:val="006873FD"/>
    <w:rsid w:val="00687407"/>
    <w:rsid w:val="006876AE"/>
    <w:rsid w:val="00687A13"/>
    <w:rsid w:val="00687C52"/>
    <w:rsid w:val="00687D5B"/>
    <w:rsid w:val="0069023A"/>
    <w:rsid w:val="006902CC"/>
    <w:rsid w:val="00690343"/>
    <w:rsid w:val="006908E3"/>
    <w:rsid w:val="00690906"/>
    <w:rsid w:val="00690AFA"/>
    <w:rsid w:val="00690B0E"/>
    <w:rsid w:val="00690D95"/>
    <w:rsid w:val="00691504"/>
    <w:rsid w:val="0069160F"/>
    <w:rsid w:val="00691C97"/>
    <w:rsid w:val="00691CD3"/>
    <w:rsid w:val="00692085"/>
    <w:rsid w:val="006925CA"/>
    <w:rsid w:val="00692721"/>
    <w:rsid w:val="00693531"/>
    <w:rsid w:val="00693875"/>
    <w:rsid w:val="006938B9"/>
    <w:rsid w:val="00693F19"/>
    <w:rsid w:val="00694430"/>
    <w:rsid w:val="0069469B"/>
    <w:rsid w:val="006946DC"/>
    <w:rsid w:val="006947B7"/>
    <w:rsid w:val="006949C8"/>
    <w:rsid w:val="00694CE4"/>
    <w:rsid w:val="00695582"/>
    <w:rsid w:val="006956C3"/>
    <w:rsid w:val="00695B00"/>
    <w:rsid w:val="00695BB7"/>
    <w:rsid w:val="00695FBA"/>
    <w:rsid w:val="00696308"/>
    <w:rsid w:val="0069653D"/>
    <w:rsid w:val="006967E3"/>
    <w:rsid w:val="006969E4"/>
    <w:rsid w:val="00696AF8"/>
    <w:rsid w:val="00696C9D"/>
    <w:rsid w:val="00696CE6"/>
    <w:rsid w:val="00696DFA"/>
    <w:rsid w:val="00696E6B"/>
    <w:rsid w:val="00696ED1"/>
    <w:rsid w:val="006979E0"/>
    <w:rsid w:val="00697F7A"/>
    <w:rsid w:val="006A0062"/>
    <w:rsid w:val="006A04BC"/>
    <w:rsid w:val="006A138C"/>
    <w:rsid w:val="006A142C"/>
    <w:rsid w:val="006A1666"/>
    <w:rsid w:val="006A18EB"/>
    <w:rsid w:val="006A1D11"/>
    <w:rsid w:val="006A1D3F"/>
    <w:rsid w:val="006A2166"/>
    <w:rsid w:val="006A2357"/>
    <w:rsid w:val="006A2639"/>
    <w:rsid w:val="006A2CBA"/>
    <w:rsid w:val="006A2EA6"/>
    <w:rsid w:val="006A314A"/>
    <w:rsid w:val="006A34F5"/>
    <w:rsid w:val="006A3BFF"/>
    <w:rsid w:val="006A3CF3"/>
    <w:rsid w:val="006A3E66"/>
    <w:rsid w:val="006A4074"/>
    <w:rsid w:val="006A40A4"/>
    <w:rsid w:val="006A412D"/>
    <w:rsid w:val="006A458F"/>
    <w:rsid w:val="006A45B6"/>
    <w:rsid w:val="006A4BF1"/>
    <w:rsid w:val="006A4D5E"/>
    <w:rsid w:val="006A5D17"/>
    <w:rsid w:val="006A5EA5"/>
    <w:rsid w:val="006A6109"/>
    <w:rsid w:val="006A62F0"/>
    <w:rsid w:val="006A63A7"/>
    <w:rsid w:val="006A64F6"/>
    <w:rsid w:val="006A6814"/>
    <w:rsid w:val="006A6A6F"/>
    <w:rsid w:val="006A70F8"/>
    <w:rsid w:val="006A71BE"/>
    <w:rsid w:val="006A72BF"/>
    <w:rsid w:val="006A773C"/>
    <w:rsid w:val="006A7790"/>
    <w:rsid w:val="006A7958"/>
    <w:rsid w:val="006A7A33"/>
    <w:rsid w:val="006A7D05"/>
    <w:rsid w:val="006A7ED2"/>
    <w:rsid w:val="006A7F89"/>
    <w:rsid w:val="006A7FF6"/>
    <w:rsid w:val="006B0136"/>
    <w:rsid w:val="006B02D2"/>
    <w:rsid w:val="006B052F"/>
    <w:rsid w:val="006B06A7"/>
    <w:rsid w:val="006B0BCB"/>
    <w:rsid w:val="006B0E88"/>
    <w:rsid w:val="006B0F86"/>
    <w:rsid w:val="006B0FAD"/>
    <w:rsid w:val="006B111D"/>
    <w:rsid w:val="006B12A8"/>
    <w:rsid w:val="006B1338"/>
    <w:rsid w:val="006B13E2"/>
    <w:rsid w:val="006B1643"/>
    <w:rsid w:val="006B17AC"/>
    <w:rsid w:val="006B186A"/>
    <w:rsid w:val="006B18F4"/>
    <w:rsid w:val="006B1A83"/>
    <w:rsid w:val="006B1D11"/>
    <w:rsid w:val="006B2379"/>
    <w:rsid w:val="006B23FF"/>
    <w:rsid w:val="006B25AF"/>
    <w:rsid w:val="006B25CD"/>
    <w:rsid w:val="006B2650"/>
    <w:rsid w:val="006B26C4"/>
    <w:rsid w:val="006B28BC"/>
    <w:rsid w:val="006B2A6B"/>
    <w:rsid w:val="006B2DEC"/>
    <w:rsid w:val="006B2EAC"/>
    <w:rsid w:val="006B3321"/>
    <w:rsid w:val="006B357A"/>
    <w:rsid w:val="006B3825"/>
    <w:rsid w:val="006B3AEF"/>
    <w:rsid w:val="006B3E85"/>
    <w:rsid w:val="006B3FCC"/>
    <w:rsid w:val="006B44A3"/>
    <w:rsid w:val="006B45B9"/>
    <w:rsid w:val="006B49BE"/>
    <w:rsid w:val="006B4D71"/>
    <w:rsid w:val="006B5041"/>
    <w:rsid w:val="006B51D8"/>
    <w:rsid w:val="006B52DA"/>
    <w:rsid w:val="006B55F8"/>
    <w:rsid w:val="006B5634"/>
    <w:rsid w:val="006B56E3"/>
    <w:rsid w:val="006B58BD"/>
    <w:rsid w:val="006B5946"/>
    <w:rsid w:val="006B596C"/>
    <w:rsid w:val="006B5B7F"/>
    <w:rsid w:val="006B5BD5"/>
    <w:rsid w:val="006B5E0D"/>
    <w:rsid w:val="006B67A9"/>
    <w:rsid w:val="006B686F"/>
    <w:rsid w:val="006B71AC"/>
    <w:rsid w:val="006B7733"/>
    <w:rsid w:val="006B7743"/>
    <w:rsid w:val="006B7997"/>
    <w:rsid w:val="006B7DBE"/>
    <w:rsid w:val="006C0180"/>
    <w:rsid w:val="006C0310"/>
    <w:rsid w:val="006C0576"/>
    <w:rsid w:val="006C0720"/>
    <w:rsid w:val="006C08BE"/>
    <w:rsid w:val="006C0BDA"/>
    <w:rsid w:val="006C10CA"/>
    <w:rsid w:val="006C1B98"/>
    <w:rsid w:val="006C1BCA"/>
    <w:rsid w:val="006C1D1E"/>
    <w:rsid w:val="006C1FC4"/>
    <w:rsid w:val="006C21C3"/>
    <w:rsid w:val="006C22CF"/>
    <w:rsid w:val="006C292E"/>
    <w:rsid w:val="006C2A2E"/>
    <w:rsid w:val="006C3357"/>
    <w:rsid w:val="006C373C"/>
    <w:rsid w:val="006C3752"/>
    <w:rsid w:val="006C38E6"/>
    <w:rsid w:val="006C394D"/>
    <w:rsid w:val="006C3E88"/>
    <w:rsid w:val="006C3EB3"/>
    <w:rsid w:val="006C4159"/>
    <w:rsid w:val="006C499D"/>
    <w:rsid w:val="006C4FA3"/>
    <w:rsid w:val="006C51B7"/>
    <w:rsid w:val="006C5362"/>
    <w:rsid w:val="006C555D"/>
    <w:rsid w:val="006C58A5"/>
    <w:rsid w:val="006C5AF4"/>
    <w:rsid w:val="006C60FD"/>
    <w:rsid w:val="006C6132"/>
    <w:rsid w:val="006C681C"/>
    <w:rsid w:val="006C68F1"/>
    <w:rsid w:val="006C6A69"/>
    <w:rsid w:val="006C6C96"/>
    <w:rsid w:val="006C6D45"/>
    <w:rsid w:val="006C6D9D"/>
    <w:rsid w:val="006C7FE1"/>
    <w:rsid w:val="006D0143"/>
    <w:rsid w:val="006D0C6B"/>
    <w:rsid w:val="006D0CF9"/>
    <w:rsid w:val="006D0E05"/>
    <w:rsid w:val="006D10FB"/>
    <w:rsid w:val="006D1184"/>
    <w:rsid w:val="006D14D3"/>
    <w:rsid w:val="006D1984"/>
    <w:rsid w:val="006D1A14"/>
    <w:rsid w:val="006D1E88"/>
    <w:rsid w:val="006D214B"/>
    <w:rsid w:val="006D249F"/>
    <w:rsid w:val="006D277C"/>
    <w:rsid w:val="006D3011"/>
    <w:rsid w:val="006D342C"/>
    <w:rsid w:val="006D3533"/>
    <w:rsid w:val="006D35B7"/>
    <w:rsid w:val="006D35D1"/>
    <w:rsid w:val="006D3670"/>
    <w:rsid w:val="006D36A5"/>
    <w:rsid w:val="006D429C"/>
    <w:rsid w:val="006D42B9"/>
    <w:rsid w:val="006D446D"/>
    <w:rsid w:val="006D47CB"/>
    <w:rsid w:val="006D4CBD"/>
    <w:rsid w:val="006D4D16"/>
    <w:rsid w:val="006D517A"/>
    <w:rsid w:val="006D561E"/>
    <w:rsid w:val="006D56F9"/>
    <w:rsid w:val="006D571E"/>
    <w:rsid w:val="006D58FD"/>
    <w:rsid w:val="006D594A"/>
    <w:rsid w:val="006D5A1D"/>
    <w:rsid w:val="006D5FC6"/>
    <w:rsid w:val="006D61A1"/>
    <w:rsid w:val="006D622F"/>
    <w:rsid w:val="006D63D7"/>
    <w:rsid w:val="006D644C"/>
    <w:rsid w:val="006D6B39"/>
    <w:rsid w:val="006D6D67"/>
    <w:rsid w:val="006D6DF3"/>
    <w:rsid w:val="006D6EFF"/>
    <w:rsid w:val="006D73A6"/>
    <w:rsid w:val="006D75BE"/>
    <w:rsid w:val="006D797D"/>
    <w:rsid w:val="006E00A8"/>
    <w:rsid w:val="006E0C69"/>
    <w:rsid w:val="006E0C7C"/>
    <w:rsid w:val="006E0D61"/>
    <w:rsid w:val="006E0E2D"/>
    <w:rsid w:val="006E0F4E"/>
    <w:rsid w:val="006E1032"/>
    <w:rsid w:val="006E12DF"/>
    <w:rsid w:val="006E16FF"/>
    <w:rsid w:val="006E187E"/>
    <w:rsid w:val="006E1ADD"/>
    <w:rsid w:val="006E20B1"/>
    <w:rsid w:val="006E2501"/>
    <w:rsid w:val="006E2528"/>
    <w:rsid w:val="006E282D"/>
    <w:rsid w:val="006E2863"/>
    <w:rsid w:val="006E2A50"/>
    <w:rsid w:val="006E2CC0"/>
    <w:rsid w:val="006E2F16"/>
    <w:rsid w:val="006E34EF"/>
    <w:rsid w:val="006E366B"/>
    <w:rsid w:val="006E3AFB"/>
    <w:rsid w:val="006E3BB6"/>
    <w:rsid w:val="006E3F90"/>
    <w:rsid w:val="006E4007"/>
    <w:rsid w:val="006E4339"/>
    <w:rsid w:val="006E4790"/>
    <w:rsid w:val="006E52B6"/>
    <w:rsid w:val="006E5344"/>
    <w:rsid w:val="006E5AE6"/>
    <w:rsid w:val="006E5DA7"/>
    <w:rsid w:val="006E5E21"/>
    <w:rsid w:val="006E6020"/>
    <w:rsid w:val="006E6549"/>
    <w:rsid w:val="006E65DB"/>
    <w:rsid w:val="006E66FA"/>
    <w:rsid w:val="006E6829"/>
    <w:rsid w:val="006E68C3"/>
    <w:rsid w:val="006E6A90"/>
    <w:rsid w:val="006E6F5B"/>
    <w:rsid w:val="006E7516"/>
    <w:rsid w:val="006F0187"/>
    <w:rsid w:val="006F01B8"/>
    <w:rsid w:val="006F0406"/>
    <w:rsid w:val="006F0582"/>
    <w:rsid w:val="006F059D"/>
    <w:rsid w:val="006F092E"/>
    <w:rsid w:val="006F189F"/>
    <w:rsid w:val="006F1CDD"/>
    <w:rsid w:val="006F1FB4"/>
    <w:rsid w:val="006F21EF"/>
    <w:rsid w:val="006F2253"/>
    <w:rsid w:val="006F2458"/>
    <w:rsid w:val="006F27A4"/>
    <w:rsid w:val="006F28B8"/>
    <w:rsid w:val="006F2AC7"/>
    <w:rsid w:val="006F2C52"/>
    <w:rsid w:val="006F2DE5"/>
    <w:rsid w:val="006F31E3"/>
    <w:rsid w:val="006F343E"/>
    <w:rsid w:val="006F3811"/>
    <w:rsid w:val="006F40FC"/>
    <w:rsid w:val="006F4469"/>
    <w:rsid w:val="006F490F"/>
    <w:rsid w:val="006F4968"/>
    <w:rsid w:val="006F528E"/>
    <w:rsid w:val="006F548F"/>
    <w:rsid w:val="006F5592"/>
    <w:rsid w:val="006F55A7"/>
    <w:rsid w:val="006F570D"/>
    <w:rsid w:val="006F57B9"/>
    <w:rsid w:val="006F5898"/>
    <w:rsid w:val="006F5CA8"/>
    <w:rsid w:val="006F64F8"/>
    <w:rsid w:val="006F69CF"/>
    <w:rsid w:val="006F69EE"/>
    <w:rsid w:val="006F6C70"/>
    <w:rsid w:val="006F6EAB"/>
    <w:rsid w:val="006F6F34"/>
    <w:rsid w:val="006F722A"/>
    <w:rsid w:val="006F73E1"/>
    <w:rsid w:val="006F76B3"/>
    <w:rsid w:val="006F7F95"/>
    <w:rsid w:val="0070023F"/>
    <w:rsid w:val="007004C1"/>
    <w:rsid w:val="0070056B"/>
    <w:rsid w:val="007008E2"/>
    <w:rsid w:val="00700C5B"/>
    <w:rsid w:val="00700EB7"/>
    <w:rsid w:val="007013E4"/>
    <w:rsid w:val="00701497"/>
    <w:rsid w:val="00701527"/>
    <w:rsid w:val="007017CF"/>
    <w:rsid w:val="00701908"/>
    <w:rsid w:val="00701AC8"/>
    <w:rsid w:val="00701B59"/>
    <w:rsid w:val="00701C9D"/>
    <w:rsid w:val="00701D9F"/>
    <w:rsid w:val="00702405"/>
    <w:rsid w:val="00702B4C"/>
    <w:rsid w:val="00702DA8"/>
    <w:rsid w:val="00702F78"/>
    <w:rsid w:val="0070322E"/>
    <w:rsid w:val="00703912"/>
    <w:rsid w:val="007039B1"/>
    <w:rsid w:val="007040E7"/>
    <w:rsid w:val="0070474C"/>
    <w:rsid w:val="00704CF2"/>
    <w:rsid w:val="00704D03"/>
    <w:rsid w:val="00705012"/>
    <w:rsid w:val="007051C6"/>
    <w:rsid w:val="0070574B"/>
    <w:rsid w:val="00705C8B"/>
    <w:rsid w:val="00705E87"/>
    <w:rsid w:val="00706533"/>
    <w:rsid w:val="0070680D"/>
    <w:rsid w:val="00706A88"/>
    <w:rsid w:val="00707242"/>
    <w:rsid w:val="007077A1"/>
    <w:rsid w:val="00707AEB"/>
    <w:rsid w:val="00707B22"/>
    <w:rsid w:val="00707CB1"/>
    <w:rsid w:val="00710342"/>
    <w:rsid w:val="00711283"/>
    <w:rsid w:val="0071128C"/>
    <w:rsid w:val="00711998"/>
    <w:rsid w:val="00711B5C"/>
    <w:rsid w:val="00711D0B"/>
    <w:rsid w:val="00711EA6"/>
    <w:rsid w:val="00711F3A"/>
    <w:rsid w:val="00712044"/>
    <w:rsid w:val="007121DD"/>
    <w:rsid w:val="00712813"/>
    <w:rsid w:val="00712BA1"/>
    <w:rsid w:val="00712D7F"/>
    <w:rsid w:val="00712DF5"/>
    <w:rsid w:val="00712EB9"/>
    <w:rsid w:val="0071327C"/>
    <w:rsid w:val="00713341"/>
    <w:rsid w:val="00713362"/>
    <w:rsid w:val="00713832"/>
    <w:rsid w:val="00713896"/>
    <w:rsid w:val="007138E2"/>
    <w:rsid w:val="00714176"/>
    <w:rsid w:val="00714199"/>
    <w:rsid w:val="00714243"/>
    <w:rsid w:val="00714723"/>
    <w:rsid w:val="007148FD"/>
    <w:rsid w:val="00714CF5"/>
    <w:rsid w:val="00715025"/>
    <w:rsid w:val="00715153"/>
    <w:rsid w:val="00715B95"/>
    <w:rsid w:val="007160A0"/>
    <w:rsid w:val="007163C2"/>
    <w:rsid w:val="00716519"/>
    <w:rsid w:val="00716881"/>
    <w:rsid w:val="0071694E"/>
    <w:rsid w:val="007169AE"/>
    <w:rsid w:val="00716A5E"/>
    <w:rsid w:val="00716B82"/>
    <w:rsid w:val="00716ED2"/>
    <w:rsid w:val="0071723D"/>
    <w:rsid w:val="007172FA"/>
    <w:rsid w:val="00717499"/>
    <w:rsid w:val="007175A0"/>
    <w:rsid w:val="007175F4"/>
    <w:rsid w:val="00717B66"/>
    <w:rsid w:val="00717C49"/>
    <w:rsid w:val="00720934"/>
    <w:rsid w:val="00720A77"/>
    <w:rsid w:val="00720C22"/>
    <w:rsid w:val="00720C50"/>
    <w:rsid w:val="00720C63"/>
    <w:rsid w:val="00720D52"/>
    <w:rsid w:val="007213F5"/>
    <w:rsid w:val="007217B0"/>
    <w:rsid w:val="00721851"/>
    <w:rsid w:val="00721D1E"/>
    <w:rsid w:val="00721DEF"/>
    <w:rsid w:val="00721E99"/>
    <w:rsid w:val="007225D8"/>
    <w:rsid w:val="00722890"/>
    <w:rsid w:val="00723A40"/>
    <w:rsid w:val="00723B5D"/>
    <w:rsid w:val="00723BD3"/>
    <w:rsid w:val="00723F7F"/>
    <w:rsid w:val="00724081"/>
    <w:rsid w:val="007240C1"/>
    <w:rsid w:val="00724326"/>
    <w:rsid w:val="0072480F"/>
    <w:rsid w:val="00724C97"/>
    <w:rsid w:val="00724D11"/>
    <w:rsid w:val="00725020"/>
    <w:rsid w:val="00725065"/>
    <w:rsid w:val="007252AE"/>
    <w:rsid w:val="007258B8"/>
    <w:rsid w:val="00725D22"/>
    <w:rsid w:val="00726171"/>
    <w:rsid w:val="007266EA"/>
    <w:rsid w:val="007267BD"/>
    <w:rsid w:val="00726A08"/>
    <w:rsid w:val="00726B3C"/>
    <w:rsid w:val="00726CB4"/>
    <w:rsid w:val="007270C7"/>
    <w:rsid w:val="00727365"/>
    <w:rsid w:val="0072764D"/>
    <w:rsid w:val="00727745"/>
    <w:rsid w:val="007279A6"/>
    <w:rsid w:val="00727C9D"/>
    <w:rsid w:val="00730056"/>
    <w:rsid w:val="00730359"/>
    <w:rsid w:val="0073066C"/>
    <w:rsid w:val="0073081C"/>
    <w:rsid w:val="0073126A"/>
    <w:rsid w:val="007315E7"/>
    <w:rsid w:val="0073171C"/>
    <w:rsid w:val="00731795"/>
    <w:rsid w:val="007317F4"/>
    <w:rsid w:val="00731AE7"/>
    <w:rsid w:val="00731D39"/>
    <w:rsid w:val="00731D3E"/>
    <w:rsid w:val="00732546"/>
    <w:rsid w:val="0073285C"/>
    <w:rsid w:val="00732AB7"/>
    <w:rsid w:val="00732C35"/>
    <w:rsid w:val="007332DD"/>
    <w:rsid w:val="007333A6"/>
    <w:rsid w:val="00733428"/>
    <w:rsid w:val="007334AF"/>
    <w:rsid w:val="007338E3"/>
    <w:rsid w:val="00733925"/>
    <w:rsid w:val="00733992"/>
    <w:rsid w:val="007339E3"/>
    <w:rsid w:val="00733CB7"/>
    <w:rsid w:val="00733D97"/>
    <w:rsid w:val="00733EF4"/>
    <w:rsid w:val="0073439F"/>
    <w:rsid w:val="0073455A"/>
    <w:rsid w:val="00734771"/>
    <w:rsid w:val="00734C04"/>
    <w:rsid w:val="00734D8C"/>
    <w:rsid w:val="00734FD0"/>
    <w:rsid w:val="00735178"/>
    <w:rsid w:val="007353DA"/>
    <w:rsid w:val="00735BB9"/>
    <w:rsid w:val="00735CCF"/>
    <w:rsid w:val="00735E26"/>
    <w:rsid w:val="0073600F"/>
    <w:rsid w:val="00736595"/>
    <w:rsid w:val="00736978"/>
    <w:rsid w:val="00736D1B"/>
    <w:rsid w:val="00737112"/>
    <w:rsid w:val="007373AA"/>
    <w:rsid w:val="007375BD"/>
    <w:rsid w:val="00737609"/>
    <w:rsid w:val="007378B9"/>
    <w:rsid w:val="0074001B"/>
    <w:rsid w:val="00740179"/>
    <w:rsid w:val="00740556"/>
    <w:rsid w:val="007407A0"/>
    <w:rsid w:val="00740A3C"/>
    <w:rsid w:val="00741142"/>
    <w:rsid w:val="00741376"/>
    <w:rsid w:val="0074180A"/>
    <w:rsid w:val="007418F6"/>
    <w:rsid w:val="00741ABD"/>
    <w:rsid w:val="00741F7D"/>
    <w:rsid w:val="0074236E"/>
    <w:rsid w:val="007429A6"/>
    <w:rsid w:val="00742AA7"/>
    <w:rsid w:val="00742B45"/>
    <w:rsid w:val="007430AC"/>
    <w:rsid w:val="007433E4"/>
    <w:rsid w:val="007436BE"/>
    <w:rsid w:val="00743720"/>
    <w:rsid w:val="00743A12"/>
    <w:rsid w:val="00743F0A"/>
    <w:rsid w:val="00744A22"/>
    <w:rsid w:val="00744DD2"/>
    <w:rsid w:val="00744FB5"/>
    <w:rsid w:val="007453AB"/>
    <w:rsid w:val="007456A0"/>
    <w:rsid w:val="00745B21"/>
    <w:rsid w:val="00745C3C"/>
    <w:rsid w:val="00745CC3"/>
    <w:rsid w:val="00746485"/>
    <w:rsid w:val="0074671A"/>
    <w:rsid w:val="00746B7B"/>
    <w:rsid w:val="00746E26"/>
    <w:rsid w:val="00746EA6"/>
    <w:rsid w:val="007473B3"/>
    <w:rsid w:val="0074743F"/>
    <w:rsid w:val="007476C6"/>
    <w:rsid w:val="00747718"/>
    <w:rsid w:val="00747769"/>
    <w:rsid w:val="0075009F"/>
    <w:rsid w:val="00750701"/>
    <w:rsid w:val="0075078B"/>
    <w:rsid w:val="00751092"/>
    <w:rsid w:val="00751275"/>
    <w:rsid w:val="007516F8"/>
    <w:rsid w:val="00752029"/>
    <w:rsid w:val="00752110"/>
    <w:rsid w:val="007523C2"/>
    <w:rsid w:val="007524C5"/>
    <w:rsid w:val="00752558"/>
    <w:rsid w:val="00752595"/>
    <w:rsid w:val="007525CA"/>
    <w:rsid w:val="00752666"/>
    <w:rsid w:val="007526C0"/>
    <w:rsid w:val="0075282A"/>
    <w:rsid w:val="00752A1B"/>
    <w:rsid w:val="00752B4B"/>
    <w:rsid w:val="00752DFA"/>
    <w:rsid w:val="00752E27"/>
    <w:rsid w:val="00752E7F"/>
    <w:rsid w:val="00753142"/>
    <w:rsid w:val="007532C3"/>
    <w:rsid w:val="007535CB"/>
    <w:rsid w:val="0075373E"/>
    <w:rsid w:val="00753807"/>
    <w:rsid w:val="00753B08"/>
    <w:rsid w:val="00753D9C"/>
    <w:rsid w:val="0075415E"/>
    <w:rsid w:val="00754619"/>
    <w:rsid w:val="00754AC6"/>
    <w:rsid w:val="00754D25"/>
    <w:rsid w:val="0075591C"/>
    <w:rsid w:val="00755A4A"/>
    <w:rsid w:val="00755C97"/>
    <w:rsid w:val="00755DA7"/>
    <w:rsid w:val="00755F4F"/>
    <w:rsid w:val="00755F50"/>
    <w:rsid w:val="007564E0"/>
    <w:rsid w:val="007565DB"/>
    <w:rsid w:val="00756712"/>
    <w:rsid w:val="007569C4"/>
    <w:rsid w:val="00756B59"/>
    <w:rsid w:val="00756BC6"/>
    <w:rsid w:val="0075752E"/>
    <w:rsid w:val="007575E0"/>
    <w:rsid w:val="00757694"/>
    <w:rsid w:val="0075774E"/>
    <w:rsid w:val="00757956"/>
    <w:rsid w:val="00757A36"/>
    <w:rsid w:val="007600C9"/>
    <w:rsid w:val="007602D0"/>
    <w:rsid w:val="0076031A"/>
    <w:rsid w:val="007605B3"/>
    <w:rsid w:val="0076081D"/>
    <w:rsid w:val="0076088C"/>
    <w:rsid w:val="00760AE6"/>
    <w:rsid w:val="00760EA1"/>
    <w:rsid w:val="00760F01"/>
    <w:rsid w:val="0076116D"/>
    <w:rsid w:val="0076121A"/>
    <w:rsid w:val="007613E4"/>
    <w:rsid w:val="007615D1"/>
    <w:rsid w:val="007619F5"/>
    <w:rsid w:val="00761FE8"/>
    <w:rsid w:val="007625E1"/>
    <w:rsid w:val="00762B94"/>
    <w:rsid w:val="00762E27"/>
    <w:rsid w:val="0076318E"/>
    <w:rsid w:val="00763377"/>
    <w:rsid w:val="007633D1"/>
    <w:rsid w:val="007633E3"/>
    <w:rsid w:val="0076346E"/>
    <w:rsid w:val="00763571"/>
    <w:rsid w:val="0076358F"/>
    <w:rsid w:val="00763D1B"/>
    <w:rsid w:val="00763D87"/>
    <w:rsid w:val="00763F3B"/>
    <w:rsid w:val="00764320"/>
    <w:rsid w:val="0076480F"/>
    <w:rsid w:val="00764855"/>
    <w:rsid w:val="00764886"/>
    <w:rsid w:val="00764EDE"/>
    <w:rsid w:val="00765148"/>
    <w:rsid w:val="0076577A"/>
    <w:rsid w:val="007657E8"/>
    <w:rsid w:val="0076581D"/>
    <w:rsid w:val="007658C0"/>
    <w:rsid w:val="00765EA2"/>
    <w:rsid w:val="00766143"/>
    <w:rsid w:val="0076618B"/>
    <w:rsid w:val="00766488"/>
    <w:rsid w:val="0076673B"/>
    <w:rsid w:val="00766782"/>
    <w:rsid w:val="00766C5E"/>
    <w:rsid w:val="00766D7C"/>
    <w:rsid w:val="00766DDC"/>
    <w:rsid w:val="00767519"/>
    <w:rsid w:val="00767D49"/>
    <w:rsid w:val="00767DC0"/>
    <w:rsid w:val="00767E40"/>
    <w:rsid w:val="007701DE"/>
    <w:rsid w:val="007702B0"/>
    <w:rsid w:val="00770627"/>
    <w:rsid w:val="007706D9"/>
    <w:rsid w:val="00770989"/>
    <w:rsid w:val="00770CF3"/>
    <w:rsid w:val="00770D67"/>
    <w:rsid w:val="00771254"/>
    <w:rsid w:val="007716A5"/>
    <w:rsid w:val="00771954"/>
    <w:rsid w:val="00771BC0"/>
    <w:rsid w:val="00771CA0"/>
    <w:rsid w:val="00771EA6"/>
    <w:rsid w:val="007725C2"/>
    <w:rsid w:val="00772A3A"/>
    <w:rsid w:val="00772C5B"/>
    <w:rsid w:val="00772EE9"/>
    <w:rsid w:val="00773061"/>
    <w:rsid w:val="0077361E"/>
    <w:rsid w:val="007738E8"/>
    <w:rsid w:val="00773AB7"/>
    <w:rsid w:val="00774282"/>
    <w:rsid w:val="00774365"/>
    <w:rsid w:val="0077444C"/>
    <w:rsid w:val="00774497"/>
    <w:rsid w:val="00774998"/>
    <w:rsid w:val="00774C97"/>
    <w:rsid w:val="00774D97"/>
    <w:rsid w:val="0077502C"/>
    <w:rsid w:val="00775102"/>
    <w:rsid w:val="00775436"/>
    <w:rsid w:val="007754D6"/>
    <w:rsid w:val="00776564"/>
    <w:rsid w:val="00776D00"/>
    <w:rsid w:val="00776D41"/>
    <w:rsid w:val="00776F7A"/>
    <w:rsid w:val="00777884"/>
    <w:rsid w:val="00777E11"/>
    <w:rsid w:val="0078003A"/>
    <w:rsid w:val="007802EE"/>
    <w:rsid w:val="00780316"/>
    <w:rsid w:val="00780742"/>
    <w:rsid w:val="00781210"/>
    <w:rsid w:val="00781887"/>
    <w:rsid w:val="007822E5"/>
    <w:rsid w:val="0078296E"/>
    <w:rsid w:val="007831A0"/>
    <w:rsid w:val="00783325"/>
    <w:rsid w:val="007833D3"/>
    <w:rsid w:val="00783413"/>
    <w:rsid w:val="007836C1"/>
    <w:rsid w:val="00783844"/>
    <w:rsid w:val="007839CB"/>
    <w:rsid w:val="00783A7D"/>
    <w:rsid w:val="00783C92"/>
    <w:rsid w:val="00783FC5"/>
    <w:rsid w:val="00783FE6"/>
    <w:rsid w:val="00784091"/>
    <w:rsid w:val="007843DB"/>
    <w:rsid w:val="0078527F"/>
    <w:rsid w:val="00785642"/>
    <w:rsid w:val="00785876"/>
    <w:rsid w:val="0078590E"/>
    <w:rsid w:val="007859FB"/>
    <w:rsid w:val="00785BF5"/>
    <w:rsid w:val="00785D98"/>
    <w:rsid w:val="00785E1F"/>
    <w:rsid w:val="00786213"/>
    <w:rsid w:val="00786630"/>
    <w:rsid w:val="00786662"/>
    <w:rsid w:val="007866E6"/>
    <w:rsid w:val="007867F0"/>
    <w:rsid w:val="0078690F"/>
    <w:rsid w:val="00786947"/>
    <w:rsid w:val="00786B2A"/>
    <w:rsid w:val="007870DC"/>
    <w:rsid w:val="00787149"/>
    <w:rsid w:val="00787199"/>
    <w:rsid w:val="00787690"/>
    <w:rsid w:val="0078787A"/>
    <w:rsid w:val="007878A2"/>
    <w:rsid w:val="00787E97"/>
    <w:rsid w:val="00790061"/>
    <w:rsid w:val="0079081F"/>
    <w:rsid w:val="00790AB5"/>
    <w:rsid w:val="00790E1B"/>
    <w:rsid w:val="00791304"/>
    <w:rsid w:val="007913D7"/>
    <w:rsid w:val="00791534"/>
    <w:rsid w:val="00791726"/>
    <w:rsid w:val="0079185C"/>
    <w:rsid w:val="00791A96"/>
    <w:rsid w:val="00791AD6"/>
    <w:rsid w:val="00791F37"/>
    <w:rsid w:val="00792390"/>
    <w:rsid w:val="00792A6E"/>
    <w:rsid w:val="00792E5A"/>
    <w:rsid w:val="00792EDC"/>
    <w:rsid w:val="00793378"/>
    <w:rsid w:val="00793450"/>
    <w:rsid w:val="0079345A"/>
    <w:rsid w:val="007935AB"/>
    <w:rsid w:val="007935B2"/>
    <w:rsid w:val="00793B16"/>
    <w:rsid w:val="0079411F"/>
    <w:rsid w:val="00794231"/>
    <w:rsid w:val="007944EA"/>
    <w:rsid w:val="00794546"/>
    <w:rsid w:val="00794547"/>
    <w:rsid w:val="00794611"/>
    <w:rsid w:val="00794A7F"/>
    <w:rsid w:val="00794E74"/>
    <w:rsid w:val="00795391"/>
    <w:rsid w:val="007953C2"/>
    <w:rsid w:val="007958CF"/>
    <w:rsid w:val="00795949"/>
    <w:rsid w:val="00795BB8"/>
    <w:rsid w:val="00795ECB"/>
    <w:rsid w:val="00795F6E"/>
    <w:rsid w:val="007963A6"/>
    <w:rsid w:val="00796820"/>
    <w:rsid w:val="00796906"/>
    <w:rsid w:val="00796C41"/>
    <w:rsid w:val="00796CFE"/>
    <w:rsid w:val="00797067"/>
    <w:rsid w:val="007970E5"/>
    <w:rsid w:val="0079771F"/>
    <w:rsid w:val="00797C18"/>
    <w:rsid w:val="00797EB6"/>
    <w:rsid w:val="007A002C"/>
    <w:rsid w:val="007A030F"/>
    <w:rsid w:val="007A0610"/>
    <w:rsid w:val="007A06C1"/>
    <w:rsid w:val="007A07F5"/>
    <w:rsid w:val="007A09B7"/>
    <w:rsid w:val="007A1048"/>
    <w:rsid w:val="007A10CE"/>
    <w:rsid w:val="007A1610"/>
    <w:rsid w:val="007A194C"/>
    <w:rsid w:val="007A1EA2"/>
    <w:rsid w:val="007A1ECF"/>
    <w:rsid w:val="007A2A90"/>
    <w:rsid w:val="007A3338"/>
    <w:rsid w:val="007A38C7"/>
    <w:rsid w:val="007A39A8"/>
    <w:rsid w:val="007A3CBC"/>
    <w:rsid w:val="007A405F"/>
    <w:rsid w:val="007A43A8"/>
    <w:rsid w:val="007A46A6"/>
    <w:rsid w:val="007A4AE5"/>
    <w:rsid w:val="007A4EA1"/>
    <w:rsid w:val="007A5974"/>
    <w:rsid w:val="007A5DB5"/>
    <w:rsid w:val="007A5EC5"/>
    <w:rsid w:val="007A6F0C"/>
    <w:rsid w:val="007A6F70"/>
    <w:rsid w:val="007A7211"/>
    <w:rsid w:val="007A765A"/>
    <w:rsid w:val="007A7D4A"/>
    <w:rsid w:val="007B0025"/>
    <w:rsid w:val="007B00A7"/>
    <w:rsid w:val="007B0AB5"/>
    <w:rsid w:val="007B0DFD"/>
    <w:rsid w:val="007B1E94"/>
    <w:rsid w:val="007B2122"/>
    <w:rsid w:val="007B22C6"/>
    <w:rsid w:val="007B23E5"/>
    <w:rsid w:val="007B2604"/>
    <w:rsid w:val="007B2B0F"/>
    <w:rsid w:val="007B2D6F"/>
    <w:rsid w:val="007B3035"/>
    <w:rsid w:val="007B3414"/>
    <w:rsid w:val="007B379E"/>
    <w:rsid w:val="007B4B6F"/>
    <w:rsid w:val="007B4DC0"/>
    <w:rsid w:val="007B4E1A"/>
    <w:rsid w:val="007B517A"/>
    <w:rsid w:val="007B57B0"/>
    <w:rsid w:val="007B5C9D"/>
    <w:rsid w:val="007B5EE3"/>
    <w:rsid w:val="007B5F40"/>
    <w:rsid w:val="007B620C"/>
    <w:rsid w:val="007B6344"/>
    <w:rsid w:val="007B6376"/>
    <w:rsid w:val="007B63F9"/>
    <w:rsid w:val="007B6D6F"/>
    <w:rsid w:val="007B704A"/>
    <w:rsid w:val="007B71CD"/>
    <w:rsid w:val="007B74BA"/>
    <w:rsid w:val="007B7A2F"/>
    <w:rsid w:val="007B7E99"/>
    <w:rsid w:val="007C027E"/>
    <w:rsid w:val="007C0365"/>
    <w:rsid w:val="007C0787"/>
    <w:rsid w:val="007C0866"/>
    <w:rsid w:val="007C088B"/>
    <w:rsid w:val="007C168B"/>
    <w:rsid w:val="007C19E5"/>
    <w:rsid w:val="007C1E42"/>
    <w:rsid w:val="007C221F"/>
    <w:rsid w:val="007C2351"/>
    <w:rsid w:val="007C2397"/>
    <w:rsid w:val="007C25D1"/>
    <w:rsid w:val="007C29AE"/>
    <w:rsid w:val="007C2BC9"/>
    <w:rsid w:val="007C2F3D"/>
    <w:rsid w:val="007C3286"/>
    <w:rsid w:val="007C32D2"/>
    <w:rsid w:val="007C3734"/>
    <w:rsid w:val="007C3F6B"/>
    <w:rsid w:val="007C414C"/>
    <w:rsid w:val="007C49C6"/>
    <w:rsid w:val="007C523F"/>
    <w:rsid w:val="007C53BC"/>
    <w:rsid w:val="007C5685"/>
    <w:rsid w:val="007C59CB"/>
    <w:rsid w:val="007C5C1F"/>
    <w:rsid w:val="007C5CAE"/>
    <w:rsid w:val="007C5FFE"/>
    <w:rsid w:val="007C6116"/>
    <w:rsid w:val="007C6357"/>
    <w:rsid w:val="007C6691"/>
    <w:rsid w:val="007C69B7"/>
    <w:rsid w:val="007C6C3E"/>
    <w:rsid w:val="007C766F"/>
    <w:rsid w:val="007C76C4"/>
    <w:rsid w:val="007C788E"/>
    <w:rsid w:val="007C78A7"/>
    <w:rsid w:val="007C7E0A"/>
    <w:rsid w:val="007C7E9E"/>
    <w:rsid w:val="007D00A1"/>
    <w:rsid w:val="007D0120"/>
    <w:rsid w:val="007D0A9E"/>
    <w:rsid w:val="007D0B7C"/>
    <w:rsid w:val="007D0ED0"/>
    <w:rsid w:val="007D120F"/>
    <w:rsid w:val="007D1BBE"/>
    <w:rsid w:val="007D1C86"/>
    <w:rsid w:val="007D1EFF"/>
    <w:rsid w:val="007D1F7B"/>
    <w:rsid w:val="007D26D0"/>
    <w:rsid w:val="007D285B"/>
    <w:rsid w:val="007D2D0E"/>
    <w:rsid w:val="007D3064"/>
    <w:rsid w:val="007D31F2"/>
    <w:rsid w:val="007D35F5"/>
    <w:rsid w:val="007D371F"/>
    <w:rsid w:val="007D388A"/>
    <w:rsid w:val="007D3FC8"/>
    <w:rsid w:val="007D4108"/>
    <w:rsid w:val="007D4230"/>
    <w:rsid w:val="007D43A0"/>
    <w:rsid w:val="007D4457"/>
    <w:rsid w:val="007D448E"/>
    <w:rsid w:val="007D44D0"/>
    <w:rsid w:val="007D460E"/>
    <w:rsid w:val="007D46C9"/>
    <w:rsid w:val="007D46DD"/>
    <w:rsid w:val="007D4CB1"/>
    <w:rsid w:val="007D4D56"/>
    <w:rsid w:val="007D51E4"/>
    <w:rsid w:val="007D528D"/>
    <w:rsid w:val="007D52F9"/>
    <w:rsid w:val="007D5BF4"/>
    <w:rsid w:val="007D5BFE"/>
    <w:rsid w:val="007D5C0E"/>
    <w:rsid w:val="007D5F78"/>
    <w:rsid w:val="007D5F93"/>
    <w:rsid w:val="007D61BA"/>
    <w:rsid w:val="007D6532"/>
    <w:rsid w:val="007D65D2"/>
    <w:rsid w:val="007D6AB7"/>
    <w:rsid w:val="007D6BBA"/>
    <w:rsid w:val="007D6FDB"/>
    <w:rsid w:val="007D721D"/>
    <w:rsid w:val="007D7602"/>
    <w:rsid w:val="007D76E8"/>
    <w:rsid w:val="007D76EA"/>
    <w:rsid w:val="007D7781"/>
    <w:rsid w:val="007D79E0"/>
    <w:rsid w:val="007D7EBE"/>
    <w:rsid w:val="007E01B9"/>
    <w:rsid w:val="007E039C"/>
    <w:rsid w:val="007E0481"/>
    <w:rsid w:val="007E0533"/>
    <w:rsid w:val="007E05A9"/>
    <w:rsid w:val="007E094A"/>
    <w:rsid w:val="007E0950"/>
    <w:rsid w:val="007E0971"/>
    <w:rsid w:val="007E0CC1"/>
    <w:rsid w:val="007E1108"/>
    <w:rsid w:val="007E15E6"/>
    <w:rsid w:val="007E1C2F"/>
    <w:rsid w:val="007E1E0C"/>
    <w:rsid w:val="007E2197"/>
    <w:rsid w:val="007E238D"/>
    <w:rsid w:val="007E258E"/>
    <w:rsid w:val="007E26AB"/>
    <w:rsid w:val="007E2C6A"/>
    <w:rsid w:val="007E2D90"/>
    <w:rsid w:val="007E2ECB"/>
    <w:rsid w:val="007E3399"/>
    <w:rsid w:val="007E39CB"/>
    <w:rsid w:val="007E3EDA"/>
    <w:rsid w:val="007E4457"/>
    <w:rsid w:val="007E4B9C"/>
    <w:rsid w:val="007E4DCE"/>
    <w:rsid w:val="007E4E80"/>
    <w:rsid w:val="007E4EE5"/>
    <w:rsid w:val="007E51A9"/>
    <w:rsid w:val="007E530C"/>
    <w:rsid w:val="007E5671"/>
    <w:rsid w:val="007E5781"/>
    <w:rsid w:val="007E6244"/>
    <w:rsid w:val="007E63F4"/>
    <w:rsid w:val="007E652F"/>
    <w:rsid w:val="007E68E4"/>
    <w:rsid w:val="007E6D19"/>
    <w:rsid w:val="007E6E8D"/>
    <w:rsid w:val="007E6E9A"/>
    <w:rsid w:val="007E6FA9"/>
    <w:rsid w:val="007E73D5"/>
    <w:rsid w:val="007E74CC"/>
    <w:rsid w:val="007E75B0"/>
    <w:rsid w:val="007E7877"/>
    <w:rsid w:val="007E7B00"/>
    <w:rsid w:val="007F04DB"/>
    <w:rsid w:val="007F067B"/>
    <w:rsid w:val="007F07B4"/>
    <w:rsid w:val="007F0D05"/>
    <w:rsid w:val="007F1152"/>
    <w:rsid w:val="007F1347"/>
    <w:rsid w:val="007F14ED"/>
    <w:rsid w:val="007F171D"/>
    <w:rsid w:val="007F17D7"/>
    <w:rsid w:val="007F1DB3"/>
    <w:rsid w:val="007F1F55"/>
    <w:rsid w:val="007F2650"/>
    <w:rsid w:val="007F2652"/>
    <w:rsid w:val="007F267B"/>
    <w:rsid w:val="007F26CC"/>
    <w:rsid w:val="007F283F"/>
    <w:rsid w:val="007F29BA"/>
    <w:rsid w:val="007F2B13"/>
    <w:rsid w:val="007F2D22"/>
    <w:rsid w:val="007F2F8D"/>
    <w:rsid w:val="007F3115"/>
    <w:rsid w:val="007F3192"/>
    <w:rsid w:val="007F3444"/>
    <w:rsid w:val="007F3630"/>
    <w:rsid w:val="007F3C30"/>
    <w:rsid w:val="007F4376"/>
    <w:rsid w:val="007F43BD"/>
    <w:rsid w:val="007F43F4"/>
    <w:rsid w:val="007F480A"/>
    <w:rsid w:val="007F4857"/>
    <w:rsid w:val="007F4987"/>
    <w:rsid w:val="007F4E3E"/>
    <w:rsid w:val="007F5396"/>
    <w:rsid w:val="007F59CA"/>
    <w:rsid w:val="007F5C45"/>
    <w:rsid w:val="007F660E"/>
    <w:rsid w:val="007F670E"/>
    <w:rsid w:val="007F6A94"/>
    <w:rsid w:val="007F6AFB"/>
    <w:rsid w:val="007F6C46"/>
    <w:rsid w:val="007F6CC3"/>
    <w:rsid w:val="007F6D76"/>
    <w:rsid w:val="007F6ECC"/>
    <w:rsid w:val="007F7036"/>
    <w:rsid w:val="007F710B"/>
    <w:rsid w:val="007F735F"/>
    <w:rsid w:val="007F7379"/>
    <w:rsid w:val="007F7542"/>
    <w:rsid w:val="007F7736"/>
    <w:rsid w:val="007F77AA"/>
    <w:rsid w:val="007F782E"/>
    <w:rsid w:val="007F7DBF"/>
    <w:rsid w:val="007F7ED5"/>
    <w:rsid w:val="00800027"/>
    <w:rsid w:val="00800551"/>
    <w:rsid w:val="008008E5"/>
    <w:rsid w:val="00800A82"/>
    <w:rsid w:val="00800C43"/>
    <w:rsid w:val="00800F8C"/>
    <w:rsid w:val="00800F9E"/>
    <w:rsid w:val="008011F0"/>
    <w:rsid w:val="008013EF"/>
    <w:rsid w:val="00801527"/>
    <w:rsid w:val="008017CB"/>
    <w:rsid w:val="008019D0"/>
    <w:rsid w:val="008019F9"/>
    <w:rsid w:val="008021B3"/>
    <w:rsid w:val="00802455"/>
    <w:rsid w:val="008027DE"/>
    <w:rsid w:val="00802805"/>
    <w:rsid w:val="00802AB3"/>
    <w:rsid w:val="00802DE3"/>
    <w:rsid w:val="0080322C"/>
    <w:rsid w:val="008034DC"/>
    <w:rsid w:val="008035A3"/>
    <w:rsid w:val="0080364F"/>
    <w:rsid w:val="00803C22"/>
    <w:rsid w:val="0080437F"/>
    <w:rsid w:val="008045BE"/>
    <w:rsid w:val="00804F06"/>
    <w:rsid w:val="008050D6"/>
    <w:rsid w:val="00805612"/>
    <w:rsid w:val="00805F50"/>
    <w:rsid w:val="00805FBF"/>
    <w:rsid w:val="00806067"/>
    <w:rsid w:val="00806082"/>
    <w:rsid w:val="00806098"/>
    <w:rsid w:val="0080664B"/>
    <w:rsid w:val="0080673A"/>
    <w:rsid w:val="00806C61"/>
    <w:rsid w:val="00806D36"/>
    <w:rsid w:val="00807536"/>
    <w:rsid w:val="0080775A"/>
    <w:rsid w:val="00807816"/>
    <w:rsid w:val="008079A0"/>
    <w:rsid w:val="00807A98"/>
    <w:rsid w:val="00807CC9"/>
    <w:rsid w:val="00807E81"/>
    <w:rsid w:val="00810161"/>
    <w:rsid w:val="008105B5"/>
    <w:rsid w:val="0081085E"/>
    <w:rsid w:val="00810F8A"/>
    <w:rsid w:val="0081152E"/>
    <w:rsid w:val="00811A49"/>
    <w:rsid w:val="00811ABC"/>
    <w:rsid w:val="008128F8"/>
    <w:rsid w:val="0081298B"/>
    <w:rsid w:val="00812DBD"/>
    <w:rsid w:val="00813495"/>
    <w:rsid w:val="008135DE"/>
    <w:rsid w:val="0081426F"/>
    <w:rsid w:val="0081456B"/>
    <w:rsid w:val="00814917"/>
    <w:rsid w:val="00814A8B"/>
    <w:rsid w:val="00814C83"/>
    <w:rsid w:val="00814F52"/>
    <w:rsid w:val="00814F5D"/>
    <w:rsid w:val="0081554F"/>
    <w:rsid w:val="0081571A"/>
    <w:rsid w:val="00815A56"/>
    <w:rsid w:val="00815C0D"/>
    <w:rsid w:val="00815F37"/>
    <w:rsid w:val="0081607B"/>
    <w:rsid w:val="00816127"/>
    <w:rsid w:val="0081612E"/>
    <w:rsid w:val="0081619F"/>
    <w:rsid w:val="0081638A"/>
    <w:rsid w:val="008167C2"/>
    <w:rsid w:val="0081687E"/>
    <w:rsid w:val="008168C7"/>
    <w:rsid w:val="00816AD4"/>
    <w:rsid w:val="00816EB7"/>
    <w:rsid w:val="00817139"/>
    <w:rsid w:val="0081730D"/>
    <w:rsid w:val="00817548"/>
    <w:rsid w:val="008179BF"/>
    <w:rsid w:val="00817C31"/>
    <w:rsid w:val="008207AF"/>
    <w:rsid w:val="0082090B"/>
    <w:rsid w:val="008212E6"/>
    <w:rsid w:val="00821909"/>
    <w:rsid w:val="00821B61"/>
    <w:rsid w:val="00821C42"/>
    <w:rsid w:val="00821C9F"/>
    <w:rsid w:val="00821D07"/>
    <w:rsid w:val="00821EB4"/>
    <w:rsid w:val="00822191"/>
    <w:rsid w:val="00822478"/>
    <w:rsid w:val="0082250A"/>
    <w:rsid w:val="008226EC"/>
    <w:rsid w:val="0082274A"/>
    <w:rsid w:val="008227CC"/>
    <w:rsid w:val="008228A0"/>
    <w:rsid w:val="008228F3"/>
    <w:rsid w:val="008232CD"/>
    <w:rsid w:val="008235CC"/>
    <w:rsid w:val="0082407F"/>
    <w:rsid w:val="008240C2"/>
    <w:rsid w:val="00824624"/>
    <w:rsid w:val="008246FD"/>
    <w:rsid w:val="008247F9"/>
    <w:rsid w:val="008248B4"/>
    <w:rsid w:val="00824B04"/>
    <w:rsid w:val="00824C80"/>
    <w:rsid w:val="00824E82"/>
    <w:rsid w:val="008257A5"/>
    <w:rsid w:val="00825DE7"/>
    <w:rsid w:val="00825FA2"/>
    <w:rsid w:val="00826592"/>
    <w:rsid w:val="00826DF1"/>
    <w:rsid w:val="008275AC"/>
    <w:rsid w:val="00827746"/>
    <w:rsid w:val="00827EE6"/>
    <w:rsid w:val="00830175"/>
    <w:rsid w:val="008304F5"/>
    <w:rsid w:val="0083053D"/>
    <w:rsid w:val="00830614"/>
    <w:rsid w:val="00830667"/>
    <w:rsid w:val="008306B5"/>
    <w:rsid w:val="008308C0"/>
    <w:rsid w:val="00830CB1"/>
    <w:rsid w:val="008310EC"/>
    <w:rsid w:val="00831173"/>
    <w:rsid w:val="00831575"/>
    <w:rsid w:val="0083164D"/>
    <w:rsid w:val="008316ED"/>
    <w:rsid w:val="00831B21"/>
    <w:rsid w:val="008321F5"/>
    <w:rsid w:val="008325D6"/>
    <w:rsid w:val="0083269E"/>
    <w:rsid w:val="00832773"/>
    <w:rsid w:val="0083283A"/>
    <w:rsid w:val="008329D1"/>
    <w:rsid w:val="00832DFF"/>
    <w:rsid w:val="008332B0"/>
    <w:rsid w:val="008339FC"/>
    <w:rsid w:val="00833D2C"/>
    <w:rsid w:val="00833F27"/>
    <w:rsid w:val="00834209"/>
    <w:rsid w:val="00834517"/>
    <w:rsid w:val="00834674"/>
    <w:rsid w:val="008348F7"/>
    <w:rsid w:val="00834AD2"/>
    <w:rsid w:val="00834D1D"/>
    <w:rsid w:val="00835245"/>
    <w:rsid w:val="008358E4"/>
    <w:rsid w:val="00835BBE"/>
    <w:rsid w:val="0083636B"/>
    <w:rsid w:val="0083645E"/>
    <w:rsid w:val="0083651C"/>
    <w:rsid w:val="00836590"/>
    <w:rsid w:val="0083698D"/>
    <w:rsid w:val="00836C4A"/>
    <w:rsid w:val="00836C6B"/>
    <w:rsid w:val="00837825"/>
    <w:rsid w:val="00837A86"/>
    <w:rsid w:val="00837AFB"/>
    <w:rsid w:val="00837BE5"/>
    <w:rsid w:val="00837C68"/>
    <w:rsid w:val="00837EAE"/>
    <w:rsid w:val="0084014C"/>
    <w:rsid w:val="00840825"/>
    <w:rsid w:val="00841271"/>
    <w:rsid w:val="008413A6"/>
    <w:rsid w:val="008413DA"/>
    <w:rsid w:val="0084179C"/>
    <w:rsid w:val="008419EE"/>
    <w:rsid w:val="00842290"/>
    <w:rsid w:val="00842731"/>
    <w:rsid w:val="0084287E"/>
    <w:rsid w:val="00842A12"/>
    <w:rsid w:val="00842D0C"/>
    <w:rsid w:val="0084315C"/>
    <w:rsid w:val="00843D82"/>
    <w:rsid w:val="00844518"/>
    <w:rsid w:val="00844AC7"/>
    <w:rsid w:val="0084517E"/>
    <w:rsid w:val="008454FA"/>
    <w:rsid w:val="0084581C"/>
    <w:rsid w:val="00845A0D"/>
    <w:rsid w:val="00845AAE"/>
    <w:rsid w:val="00845FC7"/>
    <w:rsid w:val="008461E8"/>
    <w:rsid w:val="00846CD2"/>
    <w:rsid w:val="00847173"/>
    <w:rsid w:val="008476FF"/>
    <w:rsid w:val="00847885"/>
    <w:rsid w:val="00847A5D"/>
    <w:rsid w:val="00847E99"/>
    <w:rsid w:val="0085024C"/>
    <w:rsid w:val="008505FB"/>
    <w:rsid w:val="00850756"/>
    <w:rsid w:val="00850772"/>
    <w:rsid w:val="00850F70"/>
    <w:rsid w:val="00851358"/>
    <w:rsid w:val="0085136C"/>
    <w:rsid w:val="0085170D"/>
    <w:rsid w:val="00851890"/>
    <w:rsid w:val="008518BE"/>
    <w:rsid w:val="00851AE8"/>
    <w:rsid w:val="00851DE8"/>
    <w:rsid w:val="008520B4"/>
    <w:rsid w:val="008526AD"/>
    <w:rsid w:val="00853247"/>
    <w:rsid w:val="00853611"/>
    <w:rsid w:val="00853B5C"/>
    <w:rsid w:val="008543A6"/>
    <w:rsid w:val="00854652"/>
    <w:rsid w:val="00854DAC"/>
    <w:rsid w:val="00854E15"/>
    <w:rsid w:val="00854EB6"/>
    <w:rsid w:val="00855120"/>
    <w:rsid w:val="00855321"/>
    <w:rsid w:val="008554AE"/>
    <w:rsid w:val="008557AD"/>
    <w:rsid w:val="00855928"/>
    <w:rsid w:val="008559BF"/>
    <w:rsid w:val="00855B55"/>
    <w:rsid w:val="00855B65"/>
    <w:rsid w:val="00855CBD"/>
    <w:rsid w:val="00855D48"/>
    <w:rsid w:val="00855E5B"/>
    <w:rsid w:val="00855E80"/>
    <w:rsid w:val="008561C5"/>
    <w:rsid w:val="0085623B"/>
    <w:rsid w:val="0085641F"/>
    <w:rsid w:val="008564ED"/>
    <w:rsid w:val="008568FC"/>
    <w:rsid w:val="00856904"/>
    <w:rsid w:val="008577C6"/>
    <w:rsid w:val="008577CA"/>
    <w:rsid w:val="00857802"/>
    <w:rsid w:val="00857998"/>
    <w:rsid w:val="00857B6B"/>
    <w:rsid w:val="00857BDB"/>
    <w:rsid w:val="0086038D"/>
    <w:rsid w:val="0086059A"/>
    <w:rsid w:val="00860B40"/>
    <w:rsid w:val="00860C5C"/>
    <w:rsid w:val="00860EC3"/>
    <w:rsid w:val="00861243"/>
    <w:rsid w:val="0086134F"/>
    <w:rsid w:val="00861789"/>
    <w:rsid w:val="00861AC6"/>
    <w:rsid w:val="00861B3D"/>
    <w:rsid w:val="00861B73"/>
    <w:rsid w:val="00861B95"/>
    <w:rsid w:val="008624D6"/>
    <w:rsid w:val="0086253C"/>
    <w:rsid w:val="0086293D"/>
    <w:rsid w:val="008629DD"/>
    <w:rsid w:val="00862E2E"/>
    <w:rsid w:val="008631E2"/>
    <w:rsid w:val="0086329B"/>
    <w:rsid w:val="008633A0"/>
    <w:rsid w:val="00863739"/>
    <w:rsid w:val="008637FC"/>
    <w:rsid w:val="0086403A"/>
    <w:rsid w:val="00864423"/>
    <w:rsid w:val="008649F4"/>
    <w:rsid w:val="00864C1C"/>
    <w:rsid w:val="00864C34"/>
    <w:rsid w:val="00864DFE"/>
    <w:rsid w:val="00864F6D"/>
    <w:rsid w:val="00864FBB"/>
    <w:rsid w:val="00864FD2"/>
    <w:rsid w:val="008650FE"/>
    <w:rsid w:val="008659BF"/>
    <w:rsid w:val="00865A9C"/>
    <w:rsid w:val="00865D4E"/>
    <w:rsid w:val="00865F9B"/>
    <w:rsid w:val="00866059"/>
    <w:rsid w:val="00866244"/>
    <w:rsid w:val="008662F9"/>
    <w:rsid w:val="00866643"/>
    <w:rsid w:val="00866748"/>
    <w:rsid w:val="00866D3F"/>
    <w:rsid w:val="00866D85"/>
    <w:rsid w:val="00866EBD"/>
    <w:rsid w:val="00866F4A"/>
    <w:rsid w:val="008671E1"/>
    <w:rsid w:val="008672FB"/>
    <w:rsid w:val="008674B5"/>
    <w:rsid w:val="008675E0"/>
    <w:rsid w:val="008676BB"/>
    <w:rsid w:val="00867757"/>
    <w:rsid w:val="00867A75"/>
    <w:rsid w:val="00867D12"/>
    <w:rsid w:val="00870063"/>
    <w:rsid w:val="00870069"/>
    <w:rsid w:val="00870728"/>
    <w:rsid w:val="00870924"/>
    <w:rsid w:val="0087096C"/>
    <w:rsid w:val="00870B77"/>
    <w:rsid w:val="00870D07"/>
    <w:rsid w:val="00870D3A"/>
    <w:rsid w:val="00870F10"/>
    <w:rsid w:val="00870FF7"/>
    <w:rsid w:val="0087101F"/>
    <w:rsid w:val="00871065"/>
    <w:rsid w:val="00871093"/>
    <w:rsid w:val="008715C6"/>
    <w:rsid w:val="00871757"/>
    <w:rsid w:val="00871B01"/>
    <w:rsid w:val="00872C15"/>
    <w:rsid w:val="00872C7A"/>
    <w:rsid w:val="00873366"/>
    <w:rsid w:val="00873374"/>
    <w:rsid w:val="008733DB"/>
    <w:rsid w:val="00873403"/>
    <w:rsid w:val="00873521"/>
    <w:rsid w:val="00873676"/>
    <w:rsid w:val="008737DD"/>
    <w:rsid w:val="00874080"/>
    <w:rsid w:val="008740DA"/>
    <w:rsid w:val="008741B5"/>
    <w:rsid w:val="0087449A"/>
    <w:rsid w:val="0087459B"/>
    <w:rsid w:val="00874C08"/>
    <w:rsid w:val="00874F18"/>
    <w:rsid w:val="00875253"/>
    <w:rsid w:val="00875536"/>
    <w:rsid w:val="00875834"/>
    <w:rsid w:val="008759D9"/>
    <w:rsid w:val="00875C9E"/>
    <w:rsid w:val="00876509"/>
    <w:rsid w:val="0087662B"/>
    <w:rsid w:val="008766D3"/>
    <w:rsid w:val="00876BB0"/>
    <w:rsid w:val="00876F63"/>
    <w:rsid w:val="008771C2"/>
    <w:rsid w:val="00877340"/>
    <w:rsid w:val="0087754A"/>
    <w:rsid w:val="0087759B"/>
    <w:rsid w:val="00877825"/>
    <w:rsid w:val="0087792D"/>
    <w:rsid w:val="00877B51"/>
    <w:rsid w:val="00877BE7"/>
    <w:rsid w:val="00880254"/>
    <w:rsid w:val="008803B4"/>
    <w:rsid w:val="00880B6F"/>
    <w:rsid w:val="00880BB8"/>
    <w:rsid w:val="00880CD8"/>
    <w:rsid w:val="008826EB"/>
    <w:rsid w:val="00882A69"/>
    <w:rsid w:val="00882D92"/>
    <w:rsid w:val="00882E50"/>
    <w:rsid w:val="008836B1"/>
    <w:rsid w:val="008838A0"/>
    <w:rsid w:val="00883E14"/>
    <w:rsid w:val="00883EC0"/>
    <w:rsid w:val="00884165"/>
    <w:rsid w:val="00884554"/>
    <w:rsid w:val="00884618"/>
    <w:rsid w:val="00884910"/>
    <w:rsid w:val="00884B1D"/>
    <w:rsid w:val="008853D6"/>
    <w:rsid w:val="0088545A"/>
    <w:rsid w:val="0088556C"/>
    <w:rsid w:val="0088561C"/>
    <w:rsid w:val="0088578D"/>
    <w:rsid w:val="00885B3E"/>
    <w:rsid w:val="00885CA4"/>
    <w:rsid w:val="00885E60"/>
    <w:rsid w:val="00885FDD"/>
    <w:rsid w:val="00886475"/>
    <w:rsid w:val="0088670A"/>
    <w:rsid w:val="00886876"/>
    <w:rsid w:val="008868A4"/>
    <w:rsid w:val="00886A1F"/>
    <w:rsid w:val="0088708E"/>
    <w:rsid w:val="00887352"/>
    <w:rsid w:val="008905AF"/>
    <w:rsid w:val="00890830"/>
    <w:rsid w:val="008909DF"/>
    <w:rsid w:val="00890FFE"/>
    <w:rsid w:val="00891153"/>
    <w:rsid w:val="0089128E"/>
    <w:rsid w:val="00891A2E"/>
    <w:rsid w:val="00891F2F"/>
    <w:rsid w:val="00892144"/>
    <w:rsid w:val="00892189"/>
    <w:rsid w:val="0089224B"/>
    <w:rsid w:val="00892347"/>
    <w:rsid w:val="00892402"/>
    <w:rsid w:val="00892603"/>
    <w:rsid w:val="00892B5A"/>
    <w:rsid w:val="00892E42"/>
    <w:rsid w:val="00893007"/>
    <w:rsid w:val="0089333D"/>
    <w:rsid w:val="008933BA"/>
    <w:rsid w:val="00893981"/>
    <w:rsid w:val="008939A9"/>
    <w:rsid w:val="00893A36"/>
    <w:rsid w:val="00893AEF"/>
    <w:rsid w:val="00893E3D"/>
    <w:rsid w:val="00893FEC"/>
    <w:rsid w:val="008941A8"/>
    <w:rsid w:val="00894799"/>
    <w:rsid w:val="008947DE"/>
    <w:rsid w:val="00894C5F"/>
    <w:rsid w:val="00894D5C"/>
    <w:rsid w:val="00894DEF"/>
    <w:rsid w:val="008954A5"/>
    <w:rsid w:val="008955B2"/>
    <w:rsid w:val="00895DE9"/>
    <w:rsid w:val="00895E51"/>
    <w:rsid w:val="00895ECB"/>
    <w:rsid w:val="00895F74"/>
    <w:rsid w:val="0089613B"/>
    <w:rsid w:val="008963D7"/>
    <w:rsid w:val="0089691A"/>
    <w:rsid w:val="00896E49"/>
    <w:rsid w:val="00896FF1"/>
    <w:rsid w:val="00897362"/>
    <w:rsid w:val="008977E4"/>
    <w:rsid w:val="0089791F"/>
    <w:rsid w:val="00897A83"/>
    <w:rsid w:val="008A0079"/>
    <w:rsid w:val="008A0585"/>
    <w:rsid w:val="008A06D8"/>
    <w:rsid w:val="008A0A66"/>
    <w:rsid w:val="008A0BBE"/>
    <w:rsid w:val="008A0C93"/>
    <w:rsid w:val="008A0FAA"/>
    <w:rsid w:val="008A1155"/>
    <w:rsid w:val="008A125D"/>
    <w:rsid w:val="008A1BA7"/>
    <w:rsid w:val="008A1E06"/>
    <w:rsid w:val="008A2072"/>
    <w:rsid w:val="008A27DA"/>
    <w:rsid w:val="008A27DE"/>
    <w:rsid w:val="008A2924"/>
    <w:rsid w:val="008A2973"/>
    <w:rsid w:val="008A29CD"/>
    <w:rsid w:val="008A2CBD"/>
    <w:rsid w:val="008A2DFC"/>
    <w:rsid w:val="008A2EF9"/>
    <w:rsid w:val="008A2F78"/>
    <w:rsid w:val="008A3652"/>
    <w:rsid w:val="008A36F8"/>
    <w:rsid w:val="008A378E"/>
    <w:rsid w:val="008A38E7"/>
    <w:rsid w:val="008A3A81"/>
    <w:rsid w:val="008A44A6"/>
    <w:rsid w:val="008A4718"/>
    <w:rsid w:val="008A4A1A"/>
    <w:rsid w:val="008A4F24"/>
    <w:rsid w:val="008A50FB"/>
    <w:rsid w:val="008A562F"/>
    <w:rsid w:val="008A5C76"/>
    <w:rsid w:val="008A5D20"/>
    <w:rsid w:val="008A5E66"/>
    <w:rsid w:val="008A5ED2"/>
    <w:rsid w:val="008A61A2"/>
    <w:rsid w:val="008A62EB"/>
    <w:rsid w:val="008A646A"/>
    <w:rsid w:val="008A661D"/>
    <w:rsid w:val="008A67D3"/>
    <w:rsid w:val="008A6C60"/>
    <w:rsid w:val="008A7199"/>
    <w:rsid w:val="008A7323"/>
    <w:rsid w:val="008A7326"/>
    <w:rsid w:val="008A7579"/>
    <w:rsid w:val="008A77B3"/>
    <w:rsid w:val="008A79B6"/>
    <w:rsid w:val="008A7CA0"/>
    <w:rsid w:val="008B011A"/>
    <w:rsid w:val="008B01F2"/>
    <w:rsid w:val="008B0311"/>
    <w:rsid w:val="008B047F"/>
    <w:rsid w:val="008B0498"/>
    <w:rsid w:val="008B05CC"/>
    <w:rsid w:val="008B079D"/>
    <w:rsid w:val="008B07F2"/>
    <w:rsid w:val="008B0B7B"/>
    <w:rsid w:val="008B0D92"/>
    <w:rsid w:val="008B0EF7"/>
    <w:rsid w:val="008B12C2"/>
    <w:rsid w:val="008B1738"/>
    <w:rsid w:val="008B2255"/>
    <w:rsid w:val="008B323B"/>
    <w:rsid w:val="008B32D9"/>
    <w:rsid w:val="008B3579"/>
    <w:rsid w:val="008B3A1B"/>
    <w:rsid w:val="008B3BA6"/>
    <w:rsid w:val="008B453F"/>
    <w:rsid w:val="008B4F67"/>
    <w:rsid w:val="008B562F"/>
    <w:rsid w:val="008B629D"/>
    <w:rsid w:val="008B65E6"/>
    <w:rsid w:val="008B6706"/>
    <w:rsid w:val="008B6759"/>
    <w:rsid w:val="008B68F1"/>
    <w:rsid w:val="008B6D43"/>
    <w:rsid w:val="008B705A"/>
    <w:rsid w:val="008B7B89"/>
    <w:rsid w:val="008B7C41"/>
    <w:rsid w:val="008B7D3E"/>
    <w:rsid w:val="008B7D89"/>
    <w:rsid w:val="008C00C2"/>
    <w:rsid w:val="008C05BB"/>
    <w:rsid w:val="008C07C6"/>
    <w:rsid w:val="008C0A87"/>
    <w:rsid w:val="008C0AC6"/>
    <w:rsid w:val="008C0B65"/>
    <w:rsid w:val="008C0D87"/>
    <w:rsid w:val="008C1762"/>
    <w:rsid w:val="008C17EE"/>
    <w:rsid w:val="008C182F"/>
    <w:rsid w:val="008C1830"/>
    <w:rsid w:val="008C212B"/>
    <w:rsid w:val="008C2A17"/>
    <w:rsid w:val="008C2AED"/>
    <w:rsid w:val="008C2B31"/>
    <w:rsid w:val="008C3147"/>
    <w:rsid w:val="008C32D2"/>
    <w:rsid w:val="008C35AF"/>
    <w:rsid w:val="008C37AC"/>
    <w:rsid w:val="008C3968"/>
    <w:rsid w:val="008C3CA0"/>
    <w:rsid w:val="008C44C3"/>
    <w:rsid w:val="008C4561"/>
    <w:rsid w:val="008C4636"/>
    <w:rsid w:val="008C46B0"/>
    <w:rsid w:val="008C4C03"/>
    <w:rsid w:val="008C4DE4"/>
    <w:rsid w:val="008C517B"/>
    <w:rsid w:val="008C529F"/>
    <w:rsid w:val="008C556E"/>
    <w:rsid w:val="008C570C"/>
    <w:rsid w:val="008C5AED"/>
    <w:rsid w:val="008C5F96"/>
    <w:rsid w:val="008C6000"/>
    <w:rsid w:val="008C611F"/>
    <w:rsid w:val="008C634B"/>
    <w:rsid w:val="008C659C"/>
    <w:rsid w:val="008C667F"/>
    <w:rsid w:val="008C7279"/>
    <w:rsid w:val="008C7B38"/>
    <w:rsid w:val="008C7D44"/>
    <w:rsid w:val="008C7E34"/>
    <w:rsid w:val="008D01C8"/>
    <w:rsid w:val="008D0329"/>
    <w:rsid w:val="008D0CA8"/>
    <w:rsid w:val="008D10FF"/>
    <w:rsid w:val="008D132A"/>
    <w:rsid w:val="008D1396"/>
    <w:rsid w:val="008D15D2"/>
    <w:rsid w:val="008D17E4"/>
    <w:rsid w:val="008D1AE6"/>
    <w:rsid w:val="008D2308"/>
    <w:rsid w:val="008D2390"/>
    <w:rsid w:val="008D2853"/>
    <w:rsid w:val="008D2AC4"/>
    <w:rsid w:val="008D2B66"/>
    <w:rsid w:val="008D2CA7"/>
    <w:rsid w:val="008D2ED8"/>
    <w:rsid w:val="008D3805"/>
    <w:rsid w:val="008D3E34"/>
    <w:rsid w:val="008D3E96"/>
    <w:rsid w:val="008D3FBB"/>
    <w:rsid w:val="008D40A8"/>
    <w:rsid w:val="008D4C58"/>
    <w:rsid w:val="008D5237"/>
    <w:rsid w:val="008D530B"/>
    <w:rsid w:val="008D553D"/>
    <w:rsid w:val="008D5C3F"/>
    <w:rsid w:val="008D5E7E"/>
    <w:rsid w:val="008D6139"/>
    <w:rsid w:val="008D6F7B"/>
    <w:rsid w:val="008D734B"/>
    <w:rsid w:val="008D735C"/>
    <w:rsid w:val="008D73D4"/>
    <w:rsid w:val="008D7841"/>
    <w:rsid w:val="008D791D"/>
    <w:rsid w:val="008D7ADA"/>
    <w:rsid w:val="008D7C74"/>
    <w:rsid w:val="008E0740"/>
    <w:rsid w:val="008E10F9"/>
    <w:rsid w:val="008E1153"/>
    <w:rsid w:val="008E16F7"/>
    <w:rsid w:val="008E17E2"/>
    <w:rsid w:val="008E1B3A"/>
    <w:rsid w:val="008E1C45"/>
    <w:rsid w:val="008E1D1A"/>
    <w:rsid w:val="008E1F61"/>
    <w:rsid w:val="008E20DF"/>
    <w:rsid w:val="008E2319"/>
    <w:rsid w:val="008E268F"/>
    <w:rsid w:val="008E27C2"/>
    <w:rsid w:val="008E2E06"/>
    <w:rsid w:val="008E2E20"/>
    <w:rsid w:val="008E2F3F"/>
    <w:rsid w:val="008E318E"/>
    <w:rsid w:val="008E39C5"/>
    <w:rsid w:val="008E3B50"/>
    <w:rsid w:val="008E3D06"/>
    <w:rsid w:val="008E43D5"/>
    <w:rsid w:val="008E4458"/>
    <w:rsid w:val="008E456D"/>
    <w:rsid w:val="008E463E"/>
    <w:rsid w:val="008E47D3"/>
    <w:rsid w:val="008E4864"/>
    <w:rsid w:val="008E4C2A"/>
    <w:rsid w:val="008E4EA1"/>
    <w:rsid w:val="008E509F"/>
    <w:rsid w:val="008E5205"/>
    <w:rsid w:val="008E552E"/>
    <w:rsid w:val="008E5E34"/>
    <w:rsid w:val="008E5FDD"/>
    <w:rsid w:val="008E639C"/>
    <w:rsid w:val="008E686C"/>
    <w:rsid w:val="008E6AF5"/>
    <w:rsid w:val="008E6F69"/>
    <w:rsid w:val="008E719A"/>
    <w:rsid w:val="008E75A7"/>
    <w:rsid w:val="008E76E0"/>
    <w:rsid w:val="008E7D99"/>
    <w:rsid w:val="008F0471"/>
    <w:rsid w:val="008F0552"/>
    <w:rsid w:val="008F0730"/>
    <w:rsid w:val="008F09D1"/>
    <w:rsid w:val="008F09DB"/>
    <w:rsid w:val="008F0B37"/>
    <w:rsid w:val="008F111F"/>
    <w:rsid w:val="008F121A"/>
    <w:rsid w:val="008F177C"/>
    <w:rsid w:val="008F1A4F"/>
    <w:rsid w:val="008F1D2E"/>
    <w:rsid w:val="008F222E"/>
    <w:rsid w:val="008F257D"/>
    <w:rsid w:val="008F26D8"/>
    <w:rsid w:val="008F2964"/>
    <w:rsid w:val="008F2B2F"/>
    <w:rsid w:val="008F2FAE"/>
    <w:rsid w:val="008F2FBB"/>
    <w:rsid w:val="008F314A"/>
    <w:rsid w:val="008F32B5"/>
    <w:rsid w:val="008F3426"/>
    <w:rsid w:val="008F366F"/>
    <w:rsid w:val="008F3C43"/>
    <w:rsid w:val="008F40AC"/>
    <w:rsid w:val="008F419A"/>
    <w:rsid w:val="008F42D7"/>
    <w:rsid w:val="008F4A87"/>
    <w:rsid w:val="008F4D9A"/>
    <w:rsid w:val="008F51E2"/>
    <w:rsid w:val="008F5D14"/>
    <w:rsid w:val="008F5DB2"/>
    <w:rsid w:val="008F62CE"/>
    <w:rsid w:val="008F63EF"/>
    <w:rsid w:val="008F6C31"/>
    <w:rsid w:val="008F708F"/>
    <w:rsid w:val="008F7C41"/>
    <w:rsid w:val="00900083"/>
    <w:rsid w:val="009001AA"/>
    <w:rsid w:val="00900219"/>
    <w:rsid w:val="009002B7"/>
    <w:rsid w:val="00900348"/>
    <w:rsid w:val="0090076F"/>
    <w:rsid w:val="00901040"/>
    <w:rsid w:val="00901A2D"/>
    <w:rsid w:val="00901D47"/>
    <w:rsid w:val="00901E2F"/>
    <w:rsid w:val="00901FAF"/>
    <w:rsid w:val="0090219B"/>
    <w:rsid w:val="00902330"/>
    <w:rsid w:val="0090243E"/>
    <w:rsid w:val="009024A5"/>
    <w:rsid w:val="009026E6"/>
    <w:rsid w:val="00902B5C"/>
    <w:rsid w:val="00902D8E"/>
    <w:rsid w:val="0090307A"/>
    <w:rsid w:val="009031A5"/>
    <w:rsid w:val="0090330F"/>
    <w:rsid w:val="009036EB"/>
    <w:rsid w:val="00903906"/>
    <w:rsid w:val="00903A3D"/>
    <w:rsid w:val="00903A61"/>
    <w:rsid w:val="00904133"/>
    <w:rsid w:val="009048B7"/>
    <w:rsid w:val="00904984"/>
    <w:rsid w:val="00904B1D"/>
    <w:rsid w:val="00904CF4"/>
    <w:rsid w:val="00905079"/>
    <w:rsid w:val="00905244"/>
    <w:rsid w:val="00905448"/>
    <w:rsid w:val="009054BB"/>
    <w:rsid w:val="00905739"/>
    <w:rsid w:val="00905761"/>
    <w:rsid w:val="00905F1D"/>
    <w:rsid w:val="00906022"/>
    <w:rsid w:val="009060A1"/>
    <w:rsid w:val="009062B1"/>
    <w:rsid w:val="009066C8"/>
    <w:rsid w:val="009068A9"/>
    <w:rsid w:val="00906CF0"/>
    <w:rsid w:val="00907200"/>
    <w:rsid w:val="00907261"/>
    <w:rsid w:val="00907537"/>
    <w:rsid w:val="009077CB"/>
    <w:rsid w:val="009079BE"/>
    <w:rsid w:val="00907AFF"/>
    <w:rsid w:val="00907C37"/>
    <w:rsid w:val="00907E92"/>
    <w:rsid w:val="00910A8D"/>
    <w:rsid w:val="00910E28"/>
    <w:rsid w:val="00911533"/>
    <w:rsid w:val="00911C26"/>
    <w:rsid w:val="0091213B"/>
    <w:rsid w:val="0091218D"/>
    <w:rsid w:val="00912556"/>
    <w:rsid w:val="00912814"/>
    <w:rsid w:val="00912BF9"/>
    <w:rsid w:val="00912C41"/>
    <w:rsid w:val="00912D37"/>
    <w:rsid w:val="009131E6"/>
    <w:rsid w:val="0091364D"/>
    <w:rsid w:val="00913D03"/>
    <w:rsid w:val="00914044"/>
    <w:rsid w:val="00914717"/>
    <w:rsid w:val="00914A69"/>
    <w:rsid w:val="00914D0F"/>
    <w:rsid w:val="00915098"/>
    <w:rsid w:val="00915467"/>
    <w:rsid w:val="0091597E"/>
    <w:rsid w:val="0091599A"/>
    <w:rsid w:val="0091605A"/>
    <w:rsid w:val="0091618C"/>
    <w:rsid w:val="009162BD"/>
    <w:rsid w:val="009163FB"/>
    <w:rsid w:val="009164F9"/>
    <w:rsid w:val="009165B0"/>
    <w:rsid w:val="0091695A"/>
    <w:rsid w:val="00916EC8"/>
    <w:rsid w:val="00916F1B"/>
    <w:rsid w:val="00917218"/>
    <w:rsid w:val="009174E7"/>
    <w:rsid w:val="00917C63"/>
    <w:rsid w:val="00917CC9"/>
    <w:rsid w:val="00917E44"/>
    <w:rsid w:val="00917E60"/>
    <w:rsid w:val="00920403"/>
    <w:rsid w:val="00920B7D"/>
    <w:rsid w:val="00921293"/>
    <w:rsid w:val="009219C0"/>
    <w:rsid w:val="00921A99"/>
    <w:rsid w:val="00922164"/>
    <w:rsid w:val="00922327"/>
    <w:rsid w:val="00922384"/>
    <w:rsid w:val="00922E0A"/>
    <w:rsid w:val="00922F74"/>
    <w:rsid w:val="00923163"/>
    <w:rsid w:val="0092326F"/>
    <w:rsid w:val="009233A6"/>
    <w:rsid w:val="0092347E"/>
    <w:rsid w:val="009236DD"/>
    <w:rsid w:val="0092387B"/>
    <w:rsid w:val="00923AD1"/>
    <w:rsid w:val="00923B5E"/>
    <w:rsid w:val="0092428F"/>
    <w:rsid w:val="0092453C"/>
    <w:rsid w:val="009246E2"/>
    <w:rsid w:val="0092526E"/>
    <w:rsid w:val="0092539E"/>
    <w:rsid w:val="00925C40"/>
    <w:rsid w:val="00925DE3"/>
    <w:rsid w:val="00925EFC"/>
    <w:rsid w:val="0092626A"/>
    <w:rsid w:val="0092627D"/>
    <w:rsid w:val="00926AF9"/>
    <w:rsid w:val="00926F61"/>
    <w:rsid w:val="00927067"/>
    <w:rsid w:val="00927119"/>
    <w:rsid w:val="00927156"/>
    <w:rsid w:val="00927226"/>
    <w:rsid w:val="0092787F"/>
    <w:rsid w:val="00927BF9"/>
    <w:rsid w:val="0093023E"/>
    <w:rsid w:val="00930446"/>
    <w:rsid w:val="0093051E"/>
    <w:rsid w:val="00930803"/>
    <w:rsid w:val="00930AB2"/>
    <w:rsid w:val="00930F54"/>
    <w:rsid w:val="0093149F"/>
    <w:rsid w:val="00931B27"/>
    <w:rsid w:val="00931B32"/>
    <w:rsid w:val="00931BAE"/>
    <w:rsid w:val="00931BE3"/>
    <w:rsid w:val="00932007"/>
    <w:rsid w:val="00932053"/>
    <w:rsid w:val="00932268"/>
    <w:rsid w:val="00932299"/>
    <w:rsid w:val="009327DF"/>
    <w:rsid w:val="00932D29"/>
    <w:rsid w:val="009335B7"/>
    <w:rsid w:val="00933B0A"/>
    <w:rsid w:val="00933B42"/>
    <w:rsid w:val="00933BBB"/>
    <w:rsid w:val="00933C3E"/>
    <w:rsid w:val="00933D3E"/>
    <w:rsid w:val="0093401D"/>
    <w:rsid w:val="0093412C"/>
    <w:rsid w:val="00934329"/>
    <w:rsid w:val="009346BD"/>
    <w:rsid w:val="00934C2D"/>
    <w:rsid w:val="00935042"/>
    <w:rsid w:val="009351ED"/>
    <w:rsid w:val="00935469"/>
    <w:rsid w:val="009357C2"/>
    <w:rsid w:val="009357D6"/>
    <w:rsid w:val="00935B63"/>
    <w:rsid w:val="00935C35"/>
    <w:rsid w:val="00936352"/>
    <w:rsid w:val="009371C3"/>
    <w:rsid w:val="00937320"/>
    <w:rsid w:val="009375A9"/>
    <w:rsid w:val="009375E0"/>
    <w:rsid w:val="0093798F"/>
    <w:rsid w:val="00937D88"/>
    <w:rsid w:val="00937D89"/>
    <w:rsid w:val="0094005B"/>
    <w:rsid w:val="00940519"/>
    <w:rsid w:val="00940559"/>
    <w:rsid w:val="009408A8"/>
    <w:rsid w:val="009408DB"/>
    <w:rsid w:val="009409D5"/>
    <w:rsid w:val="00940A4C"/>
    <w:rsid w:val="00941CDF"/>
    <w:rsid w:val="009420A8"/>
    <w:rsid w:val="00942155"/>
    <w:rsid w:val="009428DA"/>
    <w:rsid w:val="00942CFC"/>
    <w:rsid w:val="00942D41"/>
    <w:rsid w:val="00942D6E"/>
    <w:rsid w:val="00942FD0"/>
    <w:rsid w:val="00943237"/>
    <w:rsid w:val="00943B6F"/>
    <w:rsid w:val="00943B85"/>
    <w:rsid w:val="00943C99"/>
    <w:rsid w:val="00943ECD"/>
    <w:rsid w:val="009445DF"/>
    <w:rsid w:val="0094480F"/>
    <w:rsid w:val="009449E5"/>
    <w:rsid w:val="00945062"/>
    <w:rsid w:val="009450D8"/>
    <w:rsid w:val="00945215"/>
    <w:rsid w:val="00945637"/>
    <w:rsid w:val="00945AEE"/>
    <w:rsid w:val="009462C5"/>
    <w:rsid w:val="009464D0"/>
    <w:rsid w:val="0094674A"/>
    <w:rsid w:val="009469B6"/>
    <w:rsid w:val="00946C49"/>
    <w:rsid w:val="00946D23"/>
    <w:rsid w:val="00947025"/>
    <w:rsid w:val="009472CC"/>
    <w:rsid w:val="0094768A"/>
    <w:rsid w:val="0094783E"/>
    <w:rsid w:val="00947DCD"/>
    <w:rsid w:val="00950036"/>
    <w:rsid w:val="00950041"/>
    <w:rsid w:val="0095011B"/>
    <w:rsid w:val="00950320"/>
    <w:rsid w:val="00950B46"/>
    <w:rsid w:val="00950BC6"/>
    <w:rsid w:val="00950F94"/>
    <w:rsid w:val="009512E0"/>
    <w:rsid w:val="009518C1"/>
    <w:rsid w:val="00951A73"/>
    <w:rsid w:val="0095205F"/>
    <w:rsid w:val="00952332"/>
    <w:rsid w:val="00952560"/>
    <w:rsid w:val="00952878"/>
    <w:rsid w:val="00952886"/>
    <w:rsid w:val="00952AA0"/>
    <w:rsid w:val="00953439"/>
    <w:rsid w:val="00953917"/>
    <w:rsid w:val="00953DDF"/>
    <w:rsid w:val="00953E19"/>
    <w:rsid w:val="00953E7F"/>
    <w:rsid w:val="00953E8A"/>
    <w:rsid w:val="00953F39"/>
    <w:rsid w:val="0095470C"/>
    <w:rsid w:val="009549A1"/>
    <w:rsid w:val="00954B75"/>
    <w:rsid w:val="00954ED1"/>
    <w:rsid w:val="00954FA9"/>
    <w:rsid w:val="00955118"/>
    <w:rsid w:val="0095558C"/>
    <w:rsid w:val="00955B5A"/>
    <w:rsid w:val="00955B8B"/>
    <w:rsid w:val="00955E8F"/>
    <w:rsid w:val="00956572"/>
    <w:rsid w:val="0095676B"/>
    <w:rsid w:val="00956950"/>
    <w:rsid w:val="00956E55"/>
    <w:rsid w:val="00956F6D"/>
    <w:rsid w:val="00957B47"/>
    <w:rsid w:val="00957B60"/>
    <w:rsid w:val="00957DED"/>
    <w:rsid w:val="00960118"/>
    <w:rsid w:val="009601D1"/>
    <w:rsid w:val="009609F3"/>
    <w:rsid w:val="00960ABD"/>
    <w:rsid w:val="00960B81"/>
    <w:rsid w:val="0096106E"/>
    <w:rsid w:val="009613B4"/>
    <w:rsid w:val="00961465"/>
    <w:rsid w:val="009616F1"/>
    <w:rsid w:val="0096187C"/>
    <w:rsid w:val="00961930"/>
    <w:rsid w:val="00961A56"/>
    <w:rsid w:val="00961A8B"/>
    <w:rsid w:val="00961B8B"/>
    <w:rsid w:val="00961BBF"/>
    <w:rsid w:val="00961D7C"/>
    <w:rsid w:val="00961DE0"/>
    <w:rsid w:val="009621BD"/>
    <w:rsid w:val="0096222B"/>
    <w:rsid w:val="00962BCF"/>
    <w:rsid w:val="00962E6E"/>
    <w:rsid w:val="009630D4"/>
    <w:rsid w:val="00963291"/>
    <w:rsid w:val="009632C1"/>
    <w:rsid w:val="0096385E"/>
    <w:rsid w:val="00963A5F"/>
    <w:rsid w:val="00963B47"/>
    <w:rsid w:val="00963B98"/>
    <w:rsid w:val="00964B15"/>
    <w:rsid w:val="00964B78"/>
    <w:rsid w:val="009651B3"/>
    <w:rsid w:val="009657C5"/>
    <w:rsid w:val="009658D0"/>
    <w:rsid w:val="00965B33"/>
    <w:rsid w:val="0096654F"/>
    <w:rsid w:val="00966B3B"/>
    <w:rsid w:val="00966C94"/>
    <w:rsid w:val="00966F0D"/>
    <w:rsid w:val="009671C6"/>
    <w:rsid w:val="00967357"/>
    <w:rsid w:val="0096750A"/>
    <w:rsid w:val="00967519"/>
    <w:rsid w:val="0096763D"/>
    <w:rsid w:val="009676B6"/>
    <w:rsid w:val="00967818"/>
    <w:rsid w:val="00967B9C"/>
    <w:rsid w:val="00967BAE"/>
    <w:rsid w:val="00967D6A"/>
    <w:rsid w:val="00967FE6"/>
    <w:rsid w:val="009702DC"/>
    <w:rsid w:val="00970420"/>
    <w:rsid w:val="009707FC"/>
    <w:rsid w:val="00970A66"/>
    <w:rsid w:val="00970B69"/>
    <w:rsid w:val="00970F4D"/>
    <w:rsid w:val="00971626"/>
    <w:rsid w:val="009716D8"/>
    <w:rsid w:val="00971CC5"/>
    <w:rsid w:val="00972405"/>
    <w:rsid w:val="00972808"/>
    <w:rsid w:val="00972941"/>
    <w:rsid w:val="00972C5C"/>
    <w:rsid w:val="00972D2D"/>
    <w:rsid w:val="009731DE"/>
    <w:rsid w:val="00973577"/>
    <w:rsid w:val="00973742"/>
    <w:rsid w:val="00973A19"/>
    <w:rsid w:val="00973C04"/>
    <w:rsid w:val="00973EC8"/>
    <w:rsid w:val="00973F3E"/>
    <w:rsid w:val="00973FA7"/>
    <w:rsid w:val="00974689"/>
    <w:rsid w:val="009746F8"/>
    <w:rsid w:val="00974820"/>
    <w:rsid w:val="00974C91"/>
    <w:rsid w:val="00974CBE"/>
    <w:rsid w:val="00974EF1"/>
    <w:rsid w:val="00974FE0"/>
    <w:rsid w:val="009751A4"/>
    <w:rsid w:val="009751C3"/>
    <w:rsid w:val="00975211"/>
    <w:rsid w:val="009758FE"/>
    <w:rsid w:val="0097592E"/>
    <w:rsid w:val="00975B73"/>
    <w:rsid w:val="00975BC7"/>
    <w:rsid w:val="00975D03"/>
    <w:rsid w:val="00975F62"/>
    <w:rsid w:val="0097621B"/>
    <w:rsid w:val="00976622"/>
    <w:rsid w:val="00976AA3"/>
    <w:rsid w:val="00976B63"/>
    <w:rsid w:val="00976BE7"/>
    <w:rsid w:val="00976D13"/>
    <w:rsid w:val="009771D4"/>
    <w:rsid w:val="0097753D"/>
    <w:rsid w:val="00977558"/>
    <w:rsid w:val="00977635"/>
    <w:rsid w:val="0097772E"/>
    <w:rsid w:val="009779A2"/>
    <w:rsid w:val="0098003B"/>
    <w:rsid w:val="0098026D"/>
    <w:rsid w:val="00980810"/>
    <w:rsid w:val="0098106F"/>
    <w:rsid w:val="00981466"/>
    <w:rsid w:val="00982095"/>
    <w:rsid w:val="009823C8"/>
    <w:rsid w:val="009828AB"/>
    <w:rsid w:val="00982BB3"/>
    <w:rsid w:val="00982E55"/>
    <w:rsid w:val="0098303A"/>
    <w:rsid w:val="00983403"/>
    <w:rsid w:val="0098361F"/>
    <w:rsid w:val="00983946"/>
    <w:rsid w:val="00983DBB"/>
    <w:rsid w:val="00984090"/>
    <w:rsid w:val="00984257"/>
    <w:rsid w:val="00984320"/>
    <w:rsid w:val="0098459D"/>
    <w:rsid w:val="0098479D"/>
    <w:rsid w:val="00984ACB"/>
    <w:rsid w:val="00984DE0"/>
    <w:rsid w:val="00984DEE"/>
    <w:rsid w:val="009851DD"/>
    <w:rsid w:val="009858E4"/>
    <w:rsid w:val="009859A9"/>
    <w:rsid w:val="00985A3B"/>
    <w:rsid w:val="00985D6E"/>
    <w:rsid w:val="00985DD6"/>
    <w:rsid w:val="009861F7"/>
    <w:rsid w:val="0098664F"/>
    <w:rsid w:val="00986E89"/>
    <w:rsid w:val="00987472"/>
    <w:rsid w:val="00987503"/>
    <w:rsid w:val="00987E20"/>
    <w:rsid w:val="00987E82"/>
    <w:rsid w:val="0099093E"/>
    <w:rsid w:val="00990D19"/>
    <w:rsid w:val="00991179"/>
    <w:rsid w:val="009918C7"/>
    <w:rsid w:val="0099194B"/>
    <w:rsid w:val="00991E40"/>
    <w:rsid w:val="0099203E"/>
    <w:rsid w:val="009920A5"/>
    <w:rsid w:val="009923F1"/>
    <w:rsid w:val="0099245D"/>
    <w:rsid w:val="00992AAF"/>
    <w:rsid w:val="00992B2E"/>
    <w:rsid w:val="00992BA8"/>
    <w:rsid w:val="00992CFE"/>
    <w:rsid w:val="009932D0"/>
    <w:rsid w:val="009935A5"/>
    <w:rsid w:val="009937DE"/>
    <w:rsid w:val="00993A7A"/>
    <w:rsid w:val="00993D3D"/>
    <w:rsid w:val="00993DF7"/>
    <w:rsid w:val="00993E97"/>
    <w:rsid w:val="00993EA3"/>
    <w:rsid w:val="009942D1"/>
    <w:rsid w:val="00994351"/>
    <w:rsid w:val="0099449C"/>
    <w:rsid w:val="00994609"/>
    <w:rsid w:val="00994822"/>
    <w:rsid w:val="00994B37"/>
    <w:rsid w:val="00994F8D"/>
    <w:rsid w:val="0099508E"/>
    <w:rsid w:val="009950C6"/>
    <w:rsid w:val="0099552B"/>
    <w:rsid w:val="0099576B"/>
    <w:rsid w:val="009958CD"/>
    <w:rsid w:val="00995BA7"/>
    <w:rsid w:val="00995C23"/>
    <w:rsid w:val="00995D63"/>
    <w:rsid w:val="00995F61"/>
    <w:rsid w:val="00995F79"/>
    <w:rsid w:val="009960B7"/>
    <w:rsid w:val="009961AD"/>
    <w:rsid w:val="009964ED"/>
    <w:rsid w:val="0099650F"/>
    <w:rsid w:val="00996824"/>
    <w:rsid w:val="00996A80"/>
    <w:rsid w:val="00996DB1"/>
    <w:rsid w:val="00997146"/>
    <w:rsid w:val="009972C2"/>
    <w:rsid w:val="00997325"/>
    <w:rsid w:val="009973C7"/>
    <w:rsid w:val="00997E5A"/>
    <w:rsid w:val="009A01A0"/>
    <w:rsid w:val="009A0933"/>
    <w:rsid w:val="009A0957"/>
    <w:rsid w:val="009A0B3C"/>
    <w:rsid w:val="009A0FEC"/>
    <w:rsid w:val="009A1085"/>
    <w:rsid w:val="009A15B8"/>
    <w:rsid w:val="009A16F2"/>
    <w:rsid w:val="009A1729"/>
    <w:rsid w:val="009A179B"/>
    <w:rsid w:val="009A1AAD"/>
    <w:rsid w:val="009A2295"/>
    <w:rsid w:val="009A2B18"/>
    <w:rsid w:val="009A2DB9"/>
    <w:rsid w:val="009A3130"/>
    <w:rsid w:val="009A3180"/>
    <w:rsid w:val="009A3300"/>
    <w:rsid w:val="009A342A"/>
    <w:rsid w:val="009A377F"/>
    <w:rsid w:val="009A399B"/>
    <w:rsid w:val="009A3E72"/>
    <w:rsid w:val="009A40BD"/>
    <w:rsid w:val="009A4464"/>
    <w:rsid w:val="009A47E3"/>
    <w:rsid w:val="009A481E"/>
    <w:rsid w:val="009A4CDB"/>
    <w:rsid w:val="009A4E28"/>
    <w:rsid w:val="009A525F"/>
    <w:rsid w:val="009A53E4"/>
    <w:rsid w:val="009A5683"/>
    <w:rsid w:val="009A5718"/>
    <w:rsid w:val="009A57FE"/>
    <w:rsid w:val="009A58DB"/>
    <w:rsid w:val="009A5949"/>
    <w:rsid w:val="009A59B0"/>
    <w:rsid w:val="009A5B29"/>
    <w:rsid w:val="009A63A4"/>
    <w:rsid w:val="009A6A90"/>
    <w:rsid w:val="009A70AF"/>
    <w:rsid w:val="009A73E0"/>
    <w:rsid w:val="009A7493"/>
    <w:rsid w:val="009A7925"/>
    <w:rsid w:val="009A7931"/>
    <w:rsid w:val="009A7AD1"/>
    <w:rsid w:val="009B01D2"/>
    <w:rsid w:val="009B0719"/>
    <w:rsid w:val="009B09E0"/>
    <w:rsid w:val="009B0A4D"/>
    <w:rsid w:val="009B0CC5"/>
    <w:rsid w:val="009B1213"/>
    <w:rsid w:val="009B1631"/>
    <w:rsid w:val="009B19CB"/>
    <w:rsid w:val="009B1A13"/>
    <w:rsid w:val="009B1C21"/>
    <w:rsid w:val="009B2358"/>
    <w:rsid w:val="009B254E"/>
    <w:rsid w:val="009B2855"/>
    <w:rsid w:val="009B2A6E"/>
    <w:rsid w:val="009B339B"/>
    <w:rsid w:val="009B36ED"/>
    <w:rsid w:val="009B39E3"/>
    <w:rsid w:val="009B3A91"/>
    <w:rsid w:val="009B3BD6"/>
    <w:rsid w:val="009B3C22"/>
    <w:rsid w:val="009B3DB6"/>
    <w:rsid w:val="009B413F"/>
    <w:rsid w:val="009B41D9"/>
    <w:rsid w:val="009B429C"/>
    <w:rsid w:val="009B437C"/>
    <w:rsid w:val="009B4797"/>
    <w:rsid w:val="009B5159"/>
    <w:rsid w:val="009B5A38"/>
    <w:rsid w:val="009B5A96"/>
    <w:rsid w:val="009B5BF8"/>
    <w:rsid w:val="009B5C92"/>
    <w:rsid w:val="009B5DA9"/>
    <w:rsid w:val="009B6562"/>
    <w:rsid w:val="009B66D1"/>
    <w:rsid w:val="009B68FA"/>
    <w:rsid w:val="009B701C"/>
    <w:rsid w:val="009B74CD"/>
    <w:rsid w:val="009B77EC"/>
    <w:rsid w:val="009B781C"/>
    <w:rsid w:val="009B78D0"/>
    <w:rsid w:val="009B7AC3"/>
    <w:rsid w:val="009B7E27"/>
    <w:rsid w:val="009C0018"/>
    <w:rsid w:val="009C0CEA"/>
    <w:rsid w:val="009C0F40"/>
    <w:rsid w:val="009C12DD"/>
    <w:rsid w:val="009C135B"/>
    <w:rsid w:val="009C15A8"/>
    <w:rsid w:val="009C16ED"/>
    <w:rsid w:val="009C1C54"/>
    <w:rsid w:val="009C1FAE"/>
    <w:rsid w:val="009C2327"/>
    <w:rsid w:val="009C258E"/>
    <w:rsid w:val="009C2B2C"/>
    <w:rsid w:val="009C3061"/>
    <w:rsid w:val="009C3C12"/>
    <w:rsid w:val="009C3D5F"/>
    <w:rsid w:val="009C3E85"/>
    <w:rsid w:val="009C3F31"/>
    <w:rsid w:val="009C43AD"/>
    <w:rsid w:val="009C43B2"/>
    <w:rsid w:val="009C4588"/>
    <w:rsid w:val="009C4887"/>
    <w:rsid w:val="009C5008"/>
    <w:rsid w:val="009C503F"/>
    <w:rsid w:val="009C51F3"/>
    <w:rsid w:val="009C56FA"/>
    <w:rsid w:val="009C5833"/>
    <w:rsid w:val="009C5957"/>
    <w:rsid w:val="009C610B"/>
    <w:rsid w:val="009C6720"/>
    <w:rsid w:val="009C73B4"/>
    <w:rsid w:val="009C74EF"/>
    <w:rsid w:val="009C7B98"/>
    <w:rsid w:val="009C7C19"/>
    <w:rsid w:val="009C7C3E"/>
    <w:rsid w:val="009C7D01"/>
    <w:rsid w:val="009D083E"/>
    <w:rsid w:val="009D08AB"/>
    <w:rsid w:val="009D0A79"/>
    <w:rsid w:val="009D0C46"/>
    <w:rsid w:val="009D0DC9"/>
    <w:rsid w:val="009D1045"/>
    <w:rsid w:val="009D15B9"/>
    <w:rsid w:val="009D197F"/>
    <w:rsid w:val="009D1BA6"/>
    <w:rsid w:val="009D1BB9"/>
    <w:rsid w:val="009D2582"/>
    <w:rsid w:val="009D2708"/>
    <w:rsid w:val="009D2729"/>
    <w:rsid w:val="009D27F8"/>
    <w:rsid w:val="009D283B"/>
    <w:rsid w:val="009D2CDE"/>
    <w:rsid w:val="009D3166"/>
    <w:rsid w:val="009D317C"/>
    <w:rsid w:val="009D34D2"/>
    <w:rsid w:val="009D371D"/>
    <w:rsid w:val="009D3E01"/>
    <w:rsid w:val="009D3E8F"/>
    <w:rsid w:val="009D4083"/>
    <w:rsid w:val="009D44CF"/>
    <w:rsid w:val="009D4892"/>
    <w:rsid w:val="009D4941"/>
    <w:rsid w:val="009D4A9A"/>
    <w:rsid w:val="009D4BAE"/>
    <w:rsid w:val="009D4BFB"/>
    <w:rsid w:val="009D4F35"/>
    <w:rsid w:val="009D564B"/>
    <w:rsid w:val="009D579C"/>
    <w:rsid w:val="009D57B3"/>
    <w:rsid w:val="009D57CB"/>
    <w:rsid w:val="009D5927"/>
    <w:rsid w:val="009D5AA6"/>
    <w:rsid w:val="009D5B7E"/>
    <w:rsid w:val="009D5BDE"/>
    <w:rsid w:val="009D5FBB"/>
    <w:rsid w:val="009D6100"/>
    <w:rsid w:val="009D6473"/>
    <w:rsid w:val="009D68ED"/>
    <w:rsid w:val="009D6CE5"/>
    <w:rsid w:val="009D6D08"/>
    <w:rsid w:val="009D6E0C"/>
    <w:rsid w:val="009D70A8"/>
    <w:rsid w:val="009D71E9"/>
    <w:rsid w:val="009D730E"/>
    <w:rsid w:val="009D739B"/>
    <w:rsid w:val="009D75CF"/>
    <w:rsid w:val="009D7603"/>
    <w:rsid w:val="009D78C3"/>
    <w:rsid w:val="009D78F0"/>
    <w:rsid w:val="009D7BC3"/>
    <w:rsid w:val="009D7D77"/>
    <w:rsid w:val="009E0102"/>
    <w:rsid w:val="009E02B1"/>
    <w:rsid w:val="009E055A"/>
    <w:rsid w:val="009E0732"/>
    <w:rsid w:val="009E08BD"/>
    <w:rsid w:val="009E08ED"/>
    <w:rsid w:val="009E0CFF"/>
    <w:rsid w:val="009E1088"/>
    <w:rsid w:val="009E10DF"/>
    <w:rsid w:val="009E1597"/>
    <w:rsid w:val="009E1BDB"/>
    <w:rsid w:val="009E20E3"/>
    <w:rsid w:val="009E2281"/>
    <w:rsid w:val="009E24E8"/>
    <w:rsid w:val="009E2C43"/>
    <w:rsid w:val="009E2EC4"/>
    <w:rsid w:val="009E2F7F"/>
    <w:rsid w:val="009E32AA"/>
    <w:rsid w:val="009E3618"/>
    <w:rsid w:val="009E36F3"/>
    <w:rsid w:val="009E37D5"/>
    <w:rsid w:val="009E387A"/>
    <w:rsid w:val="009E3CBE"/>
    <w:rsid w:val="009E3CD5"/>
    <w:rsid w:val="009E43BA"/>
    <w:rsid w:val="009E441B"/>
    <w:rsid w:val="009E4739"/>
    <w:rsid w:val="009E4B8E"/>
    <w:rsid w:val="009E4CE7"/>
    <w:rsid w:val="009E4F88"/>
    <w:rsid w:val="009E512F"/>
    <w:rsid w:val="009E55DF"/>
    <w:rsid w:val="009E5B6D"/>
    <w:rsid w:val="009E6113"/>
    <w:rsid w:val="009E6116"/>
    <w:rsid w:val="009E6160"/>
    <w:rsid w:val="009E6314"/>
    <w:rsid w:val="009E65CB"/>
    <w:rsid w:val="009E6871"/>
    <w:rsid w:val="009E68A9"/>
    <w:rsid w:val="009E699C"/>
    <w:rsid w:val="009E7630"/>
    <w:rsid w:val="009E7AA3"/>
    <w:rsid w:val="009F0074"/>
    <w:rsid w:val="009F020B"/>
    <w:rsid w:val="009F0241"/>
    <w:rsid w:val="009F0547"/>
    <w:rsid w:val="009F0550"/>
    <w:rsid w:val="009F06F7"/>
    <w:rsid w:val="009F09F5"/>
    <w:rsid w:val="009F0AEE"/>
    <w:rsid w:val="009F0E1D"/>
    <w:rsid w:val="009F1061"/>
    <w:rsid w:val="009F163E"/>
    <w:rsid w:val="009F1C42"/>
    <w:rsid w:val="009F2308"/>
    <w:rsid w:val="009F2485"/>
    <w:rsid w:val="009F267B"/>
    <w:rsid w:val="009F2A4C"/>
    <w:rsid w:val="009F30BD"/>
    <w:rsid w:val="009F3114"/>
    <w:rsid w:val="009F396E"/>
    <w:rsid w:val="009F3A4D"/>
    <w:rsid w:val="009F4098"/>
    <w:rsid w:val="009F415F"/>
    <w:rsid w:val="009F41B8"/>
    <w:rsid w:val="009F4425"/>
    <w:rsid w:val="009F4451"/>
    <w:rsid w:val="009F4778"/>
    <w:rsid w:val="009F4BA5"/>
    <w:rsid w:val="009F4EA9"/>
    <w:rsid w:val="009F4EFB"/>
    <w:rsid w:val="009F51F6"/>
    <w:rsid w:val="009F5296"/>
    <w:rsid w:val="009F5621"/>
    <w:rsid w:val="009F5B73"/>
    <w:rsid w:val="009F60B9"/>
    <w:rsid w:val="009F6189"/>
    <w:rsid w:val="009F65D5"/>
    <w:rsid w:val="009F6ABF"/>
    <w:rsid w:val="009F6CF3"/>
    <w:rsid w:val="009F7155"/>
    <w:rsid w:val="009F728C"/>
    <w:rsid w:val="00A002F5"/>
    <w:rsid w:val="00A0077C"/>
    <w:rsid w:val="00A00A43"/>
    <w:rsid w:val="00A00A9E"/>
    <w:rsid w:val="00A01BE5"/>
    <w:rsid w:val="00A01DF1"/>
    <w:rsid w:val="00A02483"/>
    <w:rsid w:val="00A028C1"/>
    <w:rsid w:val="00A034B4"/>
    <w:rsid w:val="00A035BF"/>
    <w:rsid w:val="00A035C0"/>
    <w:rsid w:val="00A036AD"/>
    <w:rsid w:val="00A0383D"/>
    <w:rsid w:val="00A03984"/>
    <w:rsid w:val="00A03CD7"/>
    <w:rsid w:val="00A040C8"/>
    <w:rsid w:val="00A04144"/>
    <w:rsid w:val="00A043FD"/>
    <w:rsid w:val="00A04665"/>
    <w:rsid w:val="00A04E2D"/>
    <w:rsid w:val="00A04FC7"/>
    <w:rsid w:val="00A05071"/>
    <w:rsid w:val="00A05295"/>
    <w:rsid w:val="00A05336"/>
    <w:rsid w:val="00A05442"/>
    <w:rsid w:val="00A05538"/>
    <w:rsid w:val="00A05725"/>
    <w:rsid w:val="00A05A50"/>
    <w:rsid w:val="00A05C21"/>
    <w:rsid w:val="00A05D34"/>
    <w:rsid w:val="00A06242"/>
    <w:rsid w:val="00A06448"/>
    <w:rsid w:val="00A0650C"/>
    <w:rsid w:val="00A06F63"/>
    <w:rsid w:val="00A07966"/>
    <w:rsid w:val="00A07DBD"/>
    <w:rsid w:val="00A07F16"/>
    <w:rsid w:val="00A10038"/>
    <w:rsid w:val="00A10619"/>
    <w:rsid w:val="00A1187C"/>
    <w:rsid w:val="00A11962"/>
    <w:rsid w:val="00A11A90"/>
    <w:rsid w:val="00A122D3"/>
    <w:rsid w:val="00A12557"/>
    <w:rsid w:val="00A12811"/>
    <w:rsid w:val="00A129C6"/>
    <w:rsid w:val="00A12A05"/>
    <w:rsid w:val="00A12E5D"/>
    <w:rsid w:val="00A13277"/>
    <w:rsid w:val="00A13388"/>
    <w:rsid w:val="00A137E5"/>
    <w:rsid w:val="00A13B53"/>
    <w:rsid w:val="00A13CC0"/>
    <w:rsid w:val="00A13E68"/>
    <w:rsid w:val="00A141CE"/>
    <w:rsid w:val="00A150C6"/>
    <w:rsid w:val="00A15151"/>
    <w:rsid w:val="00A15433"/>
    <w:rsid w:val="00A15730"/>
    <w:rsid w:val="00A15839"/>
    <w:rsid w:val="00A15BFD"/>
    <w:rsid w:val="00A15E20"/>
    <w:rsid w:val="00A1615E"/>
    <w:rsid w:val="00A16188"/>
    <w:rsid w:val="00A167AB"/>
    <w:rsid w:val="00A16840"/>
    <w:rsid w:val="00A169B0"/>
    <w:rsid w:val="00A169BC"/>
    <w:rsid w:val="00A16A79"/>
    <w:rsid w:val="00A16A84"/>
    <w:rsid w:val="00A17192"/>
    <w:rsid w:val="00A1771F"/>
    <w:rsid w:val="00A17776"/>
    <w:rsid w:val="00A17936"/>
    <w:rsid w:val="00A17CA6"/>
    <w:rsid w:val="00A17D6C"/>
    <w:rsid w:val="00A17E1B"/>
    <w:rsid w:val="00A17FE1"/>
    <w:rsid w:val="00A20419"/>
    <w:rsid w:val="00A2109D"/>
    <w:rsid w:val="00A211C4"/>
    <w:rsid w:val="00A2143D"/>
    <w:rsid w:val="00A214FA"/>
    <w:rsid w:val="00A21554"/>
    <w:rsid w:val="00A21E8F"/>
    <w:rsid w:val="00A21EAF"/>
    <w:rsid w:val="00A21F19"/>
    <w:rsid w:val="00A22013"/>
    <w:rsid w:val="00A222DF"/>
    <w:rsid w:val="00A223DF"/>
    <w:rsid w:val="00A227FA"/>
    <w:rsid w:val="00A22B12"/>
    <w:rsid w:val="00A22E86"/>
    <w:rsid w:val="00A22FF0"/>
    <w:rsid w:val="00A23A07"/>
    <w:rsid w:val="00A23AE9"/>
    <w:rsid w:val="00A23FBA"/>
    <w:rsid w:val="00A240DA"/>
    <w:rsid w:val="00A242B3"/>
    <w:rsid w:val="00A242EC"/>
    <w:rsid w:val="00A24612"/>
    <w:rsid w:val="00A2462C"/>
    <w:rsid w:val="00A2477A"/>
    <w:rsid w:val="00A24881"/>
    <w:rsid w:val="00A248F9"/>
    <w:rsid w:val="00A254C2"/>
    <w:rsid w:val="00A25513"/>
    <w:rsid w:val="00A258CD"/>
    <w:rsid w:val="00A25EC3"/>
    <w:rsid w:val="00A261AE"/>
    <w:rsid w:val="00A264BB"/>
    <w:rsid w:val="00A264C5"/>
    <w:rsid w:val="00A26541"/>
    <w:rsid w:val="00A2683B"/>
    <w:rsid w:val="00A26EA2"/>
    <w:rsid w:val="00A27088"/>
    <w:rsid w:val="00A27105"/>
    <w:rsid w:val="00A272AC"/>
    <w:rsid w:val="00A27368"/>
    <w:rsid w:val="00A275DC"/>
    <w:rsid w:val="00A27827"/>
    <w:rsid w:val="00A27987"/>
    <w:rsid w:val="00A27A8F"/>
    <w:rsid w:val="00A27CD8"/>
    <w:rsid w:val="00A27FAB"/>
    <w:rsid w:val="00A30EFC"/>
    <w:rsid w:val="00A30F0C"/>
    <w:rsid w:val="00A31114"/>
    <w:rsid w:val="00A31206"/>
    <w:rsid w:val="00A31213"/>
    <w:rsid w:val="00A3153C"/>
    <w:rsid w:val="00A31703"/>
    <w:rsid w:val="00A3184C"/>
    <w:rsid w:val="00A322E4"/>
    <w:rsid w:val="00A32335"/>
    <w:rsid w:val="00A32A0E"/>
    <w:rsid w:val="00A32ADA"/>
    <w:rsid w:val="00A32F4E"/>
    <w:rsid w:val="00A330E7"/>
    <w:rsid w:val="00A33B23"/>
    <w:rsid w:val="00A33FA3"/>
    <w:rsid w:val="00A34178"/>
    <w:rsid w:val="00A34558"/>
    <w:rsid w:val="00A346B8"/>
    <w:rsid w:val="00A34910"/>
    <w:rsid w:val="00A3495A"/>
    <w:rsid w:val="00A34C9D"/>
    <w:rsid w:val="00A34CB1"/>
    <w:rsid w:val="00A34ECF"/>
    <w:rsid w:val="00A34F3E"/>
    <w:rsid w:val="00A355DB"/>
    <w:rsid w:val="00A35928"/>
    <w:rsid w:val="00A367F8"/>
    <w:rsid w:val="00A3688E"/>
    <w:rsid w:val="00A36AB8"/>
    <w:rsid w:val="00A36C94"/>
    <w:rsid w:val="00A36FB7"/>
    <w:rsid w:val="00A37198"/>
    <w:rsid w:val="00A372AE"/>
    <w:rsid w:val="00A377D1"/>
    <w:rsid w:val="00A37989"/>
    <w:rsid w:val="00A37CC7"/>
    <w:rsid w:val="00A37E8D"/>
    <w:rsid w:val="00A37EA2"/>
    <w:rsid w:val="00A37EB0"/>
    <w:rsid w:val="00A37F76"/>
    <w:rsid w:val="00A405A0"/>
    <w:rsid w:val="00A409F1"/>
    <w:rsid w:val="00A40A3F"/>
    <w:rsid w:val="00A41038"/>
    <w:rsid w:val="00A41B82"/>
    <w:rsid w:val="00A41DC2"/>
    <w:rsid w:val="00A422C2"/>
    <w:rsid w:val="00A4235E"/>
    <w:rsid w:val="00A42685"/>
    <w:rsid w:val="00A42704"/>
    <w:rsid w:val="00A42B86"/>
    <w:rsid w:val="00A42E56"/>
    <w:rsid w:val="00A42F46"/>
    <w:rsid w:val="00A43885"/>
    <w:rsid w:val="00A43A8A"/>
    <w:rsid w:val="00A43BF9"/>
    <w:rsid w:val="00A43EFB"/>
    <w:rsid w:val="00A441D8"/>
    <w:rsid w:val="00A442AD"/>
    <w:rsid w:val="00A44429"/>
    <w:rsid w:val="00A446E2"/>
    <w:rsid w:val="00A44822"/>
    <w:rsid w:val="00A448F9"/>
    <w:rsid w:val="00A44990"/>
    <w:rsid w:val="00A451BB"/>
    <w:rsid w:val="00A453A4"/>
    <w:rsid w:val="00A45835"/>
    <w:rsid w:val="00A459BA"/>
    <w:rsid w:val="00A45B8F"/>
    <w:rsid w:val="00A46241"/>
    <w:rsid w:val="00A46704"/>
    <w:rsid w:val="00A468A6"/>
    <w:rsid w:val="00A468BC"/>
    <w:rsid w:val="00A46B6A"/>
    <w:rsid w:val="00A46DEA"/>
    <w:rsid w:val="00A475A5"/>
    <w:rsid w:val="00A47B15"/>
    <w:rsid w:val="00A47D1E"/>
    <w:rsid w:val="00A50374"/>
    <w:rsid w:val="00A5043B"/>
    <w:rsid w:val="00A5050E"/>
    <w:rsid w:val="00A50765"/>
    <w:rsid w:val="00A507B0"/>
    <w:rsid w:val="00A509CC"/>
    <w:rsid w:val="00A511F9"/>
    <w:rsid w:val="00A51DD2"/>
    <w:rsid w:val="00A51E8E"/>
    <w:rsid w:val="00A5208E"/>
    <w:rsid w:val="00A522D6"/>
    <w:rsid w:val="00A52745"/>
    <w:rsid w:val="00A528F1"/>
    <w:rsid w:val="00A529B4"/>
    <w:rsid w:val="00A52B5A"/>
    <w:rsid w:val="00A52C86"/>
    <w:rsid w:val="00A52D08"/>
    <w:rsid w:val="00A52DBF"/>
    <w:rsid w:val="00A52E64"/>
    <w:rsid w:val="00A5383C"/>
    <w:rsid w:val="00A53A23"/>
    <w:rsid w:val="00A53CB5"/>
    <w:rsid w:val="00A53D85"/>
    <w:rsid w:val="00A53F99"/>
    <w:rsid w:val="00A53FA9"/>
    <w:rsid w:val="00A54189"/>
    <w:rsid w:val="00A54DD0"/>
    <w:rsid w:val="00A54F9B"/>
    <w:rsid w:val="00A54FC7"/>
    <w:rsid w:val="00A550F1"/>
    <w:rsid w:val="00A55197"/>
    <w:rsid w:val="00A551FB"/>
    <w:rsid w:val="00A55209"/>
    <w:rsid w:val="00A55332"/>
    <w:rsid w:val="00A559FF"/>
    <w:rsid w:val="00A55B55"/>
    <w:rsid w:val="00A55BE6"/>
    <w:rsid w:val="00A564DA"/>
    <w:rsid w:val="00A5652E"/>
    <w:rsid w:val="00A565DC"/>
    <w:rsid w:val="00A565DD"/>
    <w:rsid w:val="00A56AB0"/>
    <w:rsid w:val="00A56AEB"/>
    <w:rsid w:val="00A56C93"/>
    <w:rsid w:val="00A56EF8"/>
    <w:rsid w:val="00A5709B"/>
    <w:rsid w:val="00A570C0"/>
    <w:rsid w:val="00A572EB"/>
    <w:rsid w:val="00A57316"/>
    <w:rsid w:val="00A5789D"/>
    <w:rsid w:val="00A60F16"/>
    <w:rsid w:val="00A60F53"/>
    <w:rsid w:val="00A610AE"/>
    <w:rsid w:val="00A611E5"/>
    <w:rsid w:val="00A618F6"/>
    <w:rsid w:val="00A61FF0"/>
    <w:rsid w:val="00A62160"/>
    <w:rsid w:val="00A6269A"/>
    <w:rsid w:val="00A629D7"/>
    <w:rsid w:val="00A62A1E"/>
    <w:rsid w:val="00A62DA9"/>
    <w:rsid w:val="00A630C7"/>
    <w:rsid w:val="00A633BC"/>
    <w:rsid w:val="00A633BF"/>
    <w:rsid w:val="00A63E71"/>
    <w:rsid w:val="00A6406A"/>
    <w:rsid w:val="00A64078"/>
    <w:rsid w:val="00A6408B"/>
    <w:rsid w:val="00A640D5"/>
    <w:rsid w:val="00A64256"/>
    <w:rsid w:val="00A64538"/>
    <w:rsid w:val="00A6484E"/>
    <w:rsid w:val="00A64876"/>
    <w:rsid w:val="00A64A7A"/>
    <w:rsid w:val="00A64AE8"/>
    <w:rsid w:val="00A64BC6"/>
    <w:rsid w:val="00A65777"/>
    <w:rsid w:val="00A6587E"/>
    <w:rsid w:val="00A65883"/>
    <w:rsid w:val="00A659D5"/>
    <w:rsid w:val="00A65DAD"/>
    <w:rsid w:val="00A65F84"/>
    <w:rsid w:val="00A661C6"/>
    <w:rsid w:val="00A6643A"/>
    <w:rsid w:val="00A66865"/>
    <w:rsid w:val="00A669E2"/>
    <w:rsid w:val="00A66A0A"/>
    <w:rsid w:val="00A66BDD"/>
    <w:rsid w:val="00A6709F"/>
    <w:rsid w:val="00A671CF"/>
    <w:rsid w:val="00A67E5D"/>
    <w:rsid w:val="00A67EED"/>
    <w:rsid w:val="00A67FAD"/>
    <w:rsid w:val="00A7030D"/>
    <w:rsid w:val="00A70384"/>
    <w:rsid w:val="00A70663"/>
    <w:rsid w:val="00A70ACA"/>
    <w:rsid w:val="00A71086"/>
    <w:rsid w:val="00A71A3B"/>
    <w:rsid w:val="00A71AB0"/>
    <w:rsid w:val="00A71B2E"/>
    <w:rsid w:val="00A71B5D"/>
    <w:rsid w:val="00A71B67"/>
    <w:rsid w:val="00A71E82"/>
    <w:rsid w:val="00A71E93"/>
    <w:rsid w:val="00A72009"/>
    <w:rsid w:val="00A72065"/>
    <w:rsid w:val="00A72534"/>
    <w:rsid w:val="00A72B0C"/>
    <w:rsid w:val="00A72BE7"/>
    <w:rsid w:val="00A72CCB"/>
    <w:rsid w:val="00A732DA"/>
    <w:rsid w:val="00A73426"/>
    <w:rsid w:val="00A73451"/>
    <w:rsid w:val="00A73622"/>
    <w:rsid w:val="00A737DC"/>
    <w:rsid w:val="00A739BA"/>
    <w:rsid w:val="00A73B1F"/>
    <w:rsid w:val="00A73C36"/>
    <w:rsid w:val="00A73DD4"/>
    <w:rsid w:val="00A743C0"/>
    <w:rsid w:val="00A744CD"/>
    <w:rsid w:val="00A74864"/>
    <w:rsid w:val="00A74A6F"/>
    <w:rsid w:val="00A74BE5"/>
    <w:rsid w:val="00A74E47"/>
    <w:rsid w:val="00A74F2D"/>
    <w:rsid w:val="00A754C0"/>
    <w:rsid w:val="00A75531"/>
    <w:rsid w:val="00A75A8A"/>
    <w:rsid w:val="00A75CED"/>
    <w:rsid w:val="00A75D8B"/>
    <w:rsid w:val="00A762BD"/>
    <w:rsid w:val="00A7646E"/>
    <w:rsid w:val="00A765BF"/>
    <w:rsid w:val="00A765EA"/>
    <w:rsid w:val="00A76623"/>
    <w:rsid w:val="00A7673A"/>
    <w:rsid w:val="00A76837"/>
    <w:rsid w:val="00A76A23"/>
    <w:rsid w:val="00A76C3D"/>
    <w:rsid w:val="00A76D82"/>
    <w:rsid w:val="00A7711A"/>
    <w:rsid w:val="00A77B3C"/>
    <w:rsid w:val="00A77C4A"/>
    <w:rsid w:val="00A77DA0"/>
    <w:rsid w:val="00A800E0"/>
    <w:rsid w:val="00A80412"/>
    <w:rsid w:val="00A80874"/>
    <w:rsid w:val="00A80ADE"/>
    <w:rsid w:val="00A80B28"/>
    <w:rsid w:val="00A80C48"/>
    <w:rsid w:val="00A80DCD"/>
    <w:rsid w:val="00A80F3C"/>
    <w:rsid w:val="00A81137"/>
    <w:rsid w:val="00A8115F"/>
    <w:rsid w:val="00A816D5"/>
    <w:rsid w:val="00A81785"/>
    <w:rsid w:val="00A8192E"/>
    <w:rsid w:val="00A81B91"/>
    <w:rsid w:val="00A81EB0"/>
    <w:rsid w:val="00A8269B"/>
    <w:rsid w:val="00A8295D"/>
    <w:rsid w:val="00A82B5D"/>
    <w:rsid w:val="00A82C32"/>
    <w:rsid w:val="00A82D28"/>
    <w:rsid w:val="00A83562"/>
    <w:rsid w:val="00A835B8"/>
    <w:rsid w:val="00A836FA"/>
    <w:rsid w:val="00A8370E"/>
    <w:rsid w:val="00A83B3A"/>
    <w:rsid w:val="00A83B7F"/>
    <w:rsid w:val="00A84358"/>
    <w:rsid w:val="00A84A11"/>
    <w:rsid w:val="00A84C74"/>
    <w:rsid w:val="00A854D8"/>
    <w:rsid w:val="00A8555F"/>
    <w:rsid w:val="00A855B4"/>
    <w:rsid w:val="00A85807"/>
    <w:rsid w:val="00A859A8"/>
    <w:rsid w:val="00A85BA9"/>
    <w:rsid w:val="00A85C69"/>
    <w:rsid w:val="00A85DFA"/>
    <w:rsid w:val="00A86F4B"/>
    <w:rsid w:val="00A87A21"/>
    <w:rsid w:val="00A87AE4"/>
    <w:rsid w:val="00A87D23"/>
    <w:rsid w:val="00A87EF3"/>
    <w:rsid w:val="00A87FC0"/>
    <w:rsid w:val="00A9020D"/>
    <w:rsid w:val="00A90621"/>
    <w:rsid w:val="00A9087C"/>
    <w:rsid w:val="00A90906"/>
    <w:rsid w:val="00A90BED"/>
    <w:rsid w:val="00A918D7"/>
    <w:rsid w:val="00A91930"/>
    <w:rsid w:val="00A91C78"/>
    <w:rsid w:val="00A91CB0"/>
    <w:rsid w:val="00A92421"/>
    <w:rsid w:val="00A92747"/>
    <w:rsid w:val="00A930AE"/>
    <w:rsid w:val="00A935F4"/>
    <w:rsid w:val="00A936B9"/>
    <w:rsid w:val="00A938E3"/>
    <w:rsid w:val="00A93AB3"/>
    <w:rsid w:val="00A93D22"/>
    <w:rsid w:val="00A94503"/>
    <w:rsid w:val="00A94CE0"/>
    <w:rsid w:val="00A95149"/>
    <w:rsid w:val="00A951C5"/>
    <w:rsid w:val="00A954C8"/>
    <w:rsid w:val="00A956E7"/>
    <w:rsid w:val="00A95867"/>
    <w:rsid w:val="00A95EDA"/>
    <w:rsid w:val="00A96289"/>
    <w:rsid w:val="00A96408"/>
    <w:rsid w:val="00A96A04"/>
    <w:rsid w:val="00A96CAF"/>
    <w:rsid w:val="00A96D7C"/>
    <w:rsid w:val="00A96E6F"/>
    <w:rsid w:val="00A96E74"/>
    <w:rsid w:val="00A96EC4"/>
    <w:rsid w:val="00A96FF5"/>
    <w:rsid w:val="00A9717F"/>
    <w:rsid w:val="00A9727D"/>
    <w:rsid w:val="00A97762"/>
    <w:rsid w:val="00A97797"/>
    <w:rsid w:val="00A97836"/>
    <w:rsid w:val="00A97DAD"/>
    <w:rsid w:val="00A97FFB"/>
    <w:rsid w:val="00AA08A4"/>
    <w:rsid w:val="00AA10F4"/>
    <w:rsid w:val="00AA12B8"/>
    <w:rsid w:val="00AA1649"/>
    <w:rsid w:val="00AA17F4"/>
    <w:rsid w:val="00AA1875"/>
    <w:rsid w:val="00AA1944"/>
    <w:rsid w:val="00AA1D91"/>
    <w:rsid w:val="00AA1E11"/>
    <w:rsid w:val="00AA1EA1"/>
    <w:rsid w:val="00AA1F19"/>
    <w:rsid w:val="00AA27E8"/>
    <w:rsid w:val="00AA2A9C"/>
    <w:rsid w:val="00AA2B0D"/>
    <w:rsid w:val="00AA2C03"/>
    <w:rsid w:val="00AA2C6A"/>
    <w:rsid w:val="00AA2E2F"/>
    <w:rsid w:val="00AA2EE3"/>
    <w:rsid w:val="00AA38EF"/>
    <w:rsid w:val="00AA394C"/>
    <w:rsid w:val="00AA3BD5"/>
    <w:rsid w:val="00AA3C41"/>
    <w:rsid w:val="00AA3D5C"/>
    <w:rsid w:val="00AA3DFF"/>
    <w:rsid w:val="00AA3F0C"/>
    <w:rsid w:val="00AA41A2"/>
    <w:rsid w:val="00AA41B8"/>
    <w:rsid w:val="00AA4302"/>
    <w:rsid w:val="00AA4BD2"/>
    <w:rsid w:val="00AA4E4B"/>
    <w:rsid w:val="00AA51DC"/>
    <w:rsid w:val="00AA5228"/>
    <w:rsid w:val="00AA5295"/>
    <w:rsid w:val="00AA58EF"/>
    <w:rsid w:val="00AA5A7E"/>
    <w:rsid w:val="00AA5AF1"/>
    <w:rsid w:val="00AA5F22"/>
    <w:rsid w:val="00AA65AC"/>
    <w:rsid w:val="00AA6635"/>
    <w:rsid w:val="00AA6972"/>
    <w:rsid w:val="00AA74BC"/>
    <w:rsid w:val="00AA766C"/>
    <w:rsid w:val="00AA76C1"/>
    <w:rsid w:val="00AA7773"/>
    <w:rsid w:val="00AA79D9"/>
    <w:rsid w:val="00AA7BF9"/>
    <w:rsid w:val="00AA7CBE"/>
    <w:rsid w:val="00AA7ED5"/>
    <w:rsid w:val="00AB00B2"/>
    <w:rsid w:val="00AB0674"/>
    <w:rsid w:val="00AB06CE"/>
    <w:rsid w:val="00AB0DA1"/>
    <w:rsid w:val="00AB14F1"/>
    <w:rsid w:val="00AB1597"/>
    <w:rsid w:val="00AB1B6F"/>
    <w:rsid w:val="00AB1C7A"/>
    <w:rsid w:val="00AB1E02"/>
    <w:rsid w:val="00AB21B0"/>
    <w:rsid w:val="00AB288D"/>
    <w:rsid w:val="00AB28CD"/>
    <w:rsid w:val="00AB2CEA"/>
    <w:rsid w:val="00AB30F7"/>
    <w:rsid w:val="00AB310F"/>
    <w:rsid w:val="00AB3199"/>
    <w:rsid w:val="00AB37AF"/>
    <w:rsid w:val="00AB3DC2"/>
    <w:rsid w:val="00AB45A8"/>
    <w:rsid w:val="00AB4840"/>
    <w:rsid w:val="00AB4DFD"/>
    <w:rsid w:val="00AB53D4"/>
    <w:rsid w:val="00AB542A"/>
    <w:rsid w:val="00AB552F"/>
    <w:rsid w:val="00AB5774"/>
    <w:rsid w:val="00AB57B2"/>
    <w:rsid w:val="00AB5DB1"/>
    <w:rsid w:val="00AB613B"/>
    <w:rsid w:val="00AB6663"/>
    <w:rsid w:val="00AB6908"/>
    <w:rsid w:val="00AB72FF"/>
    <w:rsid w:val="00AB7A11"/>
    <w:rsid w:val="00AB7DF0"/>
    <w:rsid w:val="00AB7F21"/>
    <w:rsid w:val="00AC0046"/>
    <w:rsid w:val="00AC01C1"/>
    <w:rsid w:val="00AC02A0"/>
    <w:rsid w:val="00AC0530"/>
    <w:rsid w:val="00AC0A1E"/>
    <w:rsid w:val="00AC0BF9"/>
    <w:rsid w:val="00AC1E05"/>
    <w:rsid w:val="00AC1E17"/>
    <w:rsid w:val="00AC1FAF"/>
    <w:rsid w:val="00AC23B7"/>
    <w:rsid w:val="00AC253E"/>
    <w:rsid w:val="00AC2788"/>
    <w:rsid w:val="00AC2A8A"/>
    <w:rsid w:val="00AC302D"/>
    <w:rsid w:val="00AC3247"/>
    <w:rsid w:val="00AC3259"/>
    <w:rsid w:val="00AC41D9"/>
    <w:rsid w:val="00AC4601"/>
    <w:rsid w:val="00AC46DE"/>
    <w:rsid w:val="00AC474B"/>
    <w:rsid w:val="00AC5200"/>
    <w:rsid w:val="00AC5660"/>
    <w:rsid w:val="00AC5FAC"/>
    <w:rsid w:val="00AC6048"/>
    <w:rsid w:val="00AC61AC"/>
    <w:rsid w:val="00AC61F2"/>
    <w:rsid w:val="00AC6283"/>
    <w:rsid w:val="00AC6FDE"/>
    <w:rsid w:val="00AC71F4"/>
    <w:rsid w:val="00AC7739"/>
    <w:rsid w:val="00AC7BFF"/>
    <w:rsid w:val="00AC7C9E"/>
    <w:rsid w:val="00AC7D49"/>
    <w:rsid w:val="00AC7EDA"/>
    <w:rsid w:val="00AD02D5"/>
    <w:rsid w:val="00AD0828"/>
    <w:rsid w:val="00AD09BA"/>
    <w:rsid w:val="00AD0DC7"/>
    <w:rsid w:val="00AD0DE2"/>
    <w:rsid w:val="00AD1018"/>
    <w:rsid w:val="00AD175B"/>
    <w:rsid w:val="00AD17E2"/>
    <w:rsid w:val="00AD1A4C"/>
    <w:rsid w:val="00AD1CEA"/>
    <w:rsid w:val="00AD1D7F"/>
    <w:rsid w:val="00AD1E28"/>
    <w:rsid w:val="00AD21C5"/>
    <w:rsid w:val="00AD21E9"/>
    <w:rsid w:val="00AD2354"/>
    <w:rsid w:val="00AD25C1"/>
    <w:rsid w:val="00AD2774"/>
    <w:rsid w:val="00AD317A"/>
    <w:rsid w:val="00AD317C"/>
    <w:rsid w:val="00AD33B5"/>
    <w:rsid w:val="00AD34FC"/>
    <w:rsid w:val="00AD3849"/>
    <w:rsid w:val="00AD42E9"/>
    <w:rsid w:val="00AD45EB"/>
    <w:rsid w:val="00AD45F9"/>
    <w:rsid w:val="00AD4618"/>
    <w:rsid w:val="00AD4A2E"/>
    <w:rsid w:val="00AD4FA4"/>
    <w:rsid w:val="00AD4FBC"/>
    <w:rsid w:val="00AD53A7"/>
    <w:rsid w:val="00AD5876"/>
    <w:rsid w:val="00AD5BBB"/>
    <w:rsid w:val="00AD5F95"/>
    <w:rsid w:val="00AD60BF"/>
    <w:rsid w:val="00AD6284"/>
    <w:rsid w:val="00AD62BD"/>
    <w:rsid w:val="00AD6BEC"/>
    <w:rsid w:val="00AD6EC9"/>
    <w:rsid w:val="00AD6FEB"/>
    <w:rsid w:val="00AD71BE"/>
    <w:rsid w:val="00AD71D7"/>
    <w:rsid w:val="00AD7583"/>
    <w:rsid w:val="00AD76FB"/>
    <w:rsid w:val="00AD79B2"/>
    <w:rsid w:val="00AD79B5"/>
    <w:rsid w:val="00AD7CB7"/>
    <w:rsid w:val="00AD7E2D"/>
    <w:rsid w:val="00AE005C"/>
    <w:rsid w:val="00AE0126"/>
    <w:rsid w:val="00AE02D3"/>
    <w:rsid w:val="00AE0836"/>
    <w:rsid w:val="00AE0851"/>
    <w:rsid w:val="00AE08A7"/>
    <w:rsid w:val="00AE093E"/>
    <w:rsid w:val="00AE0986"/>
    <w:rsid w:val="00AE0A82"/>
    <w:rsid w:val="00AE0AC7"/>
    <w:rsid w:val="00AE0D2B"/>
    <w:rsid w:val="00AE18DE"/>
    <w:rsid w:val="00AE1B58"/>
    <w:rsid w:val="00AE224D"/>
    <w:rsid w:val="00AE28F1"/>
    <w:rsid w:val="00AE2962"/>
    <w:rsid w:val="00AE2D97"/>
    <w:rsid w:val="00AE3F75"/>
    <w:rsid w:val="00AE40CC"/>
    <w:rsid w:val="00AE41DC"/>
    <w:rsid w:val="00AE43C7"/>
    <w:rsid w:val="00AE4539"/>
    <w:rsid w:val="00AE45DB"/>
    <w:rsid w:val="00AE4BE2"/>
    <w:rsid w:val="00AE4CBC"/>
    <w:rsid w:val="00AE4D3E"/>
    <w:rsid w:val="00AE4E09"/>
    <w:rsid w:val="00AE4E30"/>
    <w:rsid w:val="00AE5577"/>
    <w:rsid w:val="00AE5678"/>
    <w:rsid w:val="00AE56FD"/>
    <w:rsid w:val="00AE571C"/>
    <w:rsid w:val="00AE5B2E"/>
    <w:rsid w:val="00AE5F00"/>
    <w:rsid w:val="00AE5F7E"/>
    <w:rsid w:val="00AE6110"/>
    <w:rsid w:val="00AE6140"/>
    <w:rsid w:val="00AE6470"/>
    <w:rsid w:val="00AE65FE"/>
    <w:rsid w:val="00AE668E"/>
    <w:rsid w:val="00AE6807"/>
    <w:rsid w:val="00AE6B11"/>
    <w:rsid w:val="00AE6C72"/>
    <w:rsid w:val="00AE6C90"/>
    <w:rsid w:val="00AE6E63"/>
    <w:rsid w:val="00AE70AC"/>
    <w:rsid w:val="00AE70E7"/>
    <w:rsid w:val="00AE72B7"/>
    <w:rsid w:val="00AE7481"/>
    <w:rsid w:val="00AE74B8"/>
    <w:rsid w:val="00AE7564"/>
    <w:rsid w:val="00AF0038"/>
    <w:rsid w:val="00AF025C"/>
    <w:rsid w:val="00AF05DF"/>
    <w:rsid w:val="00AF0920"/>
    <w:rsid w:val="00AF10E3"/>
    <w:rsid w:val="00AF1331"/>
    <w:rsid w:val="00AF143D"/>
    <w:rsid w:val="00AF1644"/>
    <w:rsid w:val="00AF1A06"/>
    <w:rsid w:val="00AF1BE1"/>
    <w:rsid w:val="00AF1C9B"/>
    <w:rsid w:val="00AF1D52"/>
    <w:rsid w:val="00AF1D92"/>
    <w:rsid w:val="00AF1F33"/>
    <w:rsid w:val="00AF1F5C"/>
    <w:rsid w:val="00AF21F6"/>
    <w:rsid w:val="00AF2251"/>
    <w:rsid w:val="00AF265B"/>
    <w:rsid w:val="00AF26FA"/>
    <w:rsid w:val="00AF27EE"/>
    <w:rsid w:val="00AF2C41"/>
    <w:rsid w:val="00AF2D5B"/>
    <w:rsid w:val="00AF2E49"/>
    <w:rsid w:val="00AF30B6"/>
    <w:rsid w:val="00AF37B3"/>
    <w:rsid w:val="00AF39BF"/>
    <w:rsid w:val="00AF3BED"/>
    <w:rsid w:val="00AF4046"/>
    <w:rsid w:val="00AF4188"/>
    <w:rsid w:val="00AF4563"/>
    <w:rsid w:val="00AF47FD"/>
    <w:rsid w:val="00AF4A40"/>
    <w:rsid w:val="00AF4B36"/>
    <w:rsid w:val="00AF4D6E"/>
    <w:rsid w:val="00AF5020"/>
    <w:rsid w:val="00AF517D"/>
    <w:rsid w:val="00AF519D"/>
    <w:rsid w:val="00AF51F1"/>
    <w:rsid w:val="00AF5375"/>
    <w:rsid w:val="00AF5551"/>
    <w:rsid w:val="00AF55DA"/>
    <w:rsid w:val="00AF568E"/>
    <w:rsid w:val="00AF5A1D"/>
    <w:rsid w:val="00AF5D9F"/>
    <w:rsid w:val="00AF5DA2"/>
    <w:rsid w:val="00AF5DD5"/>
    <w:rsid w:val="00AF5E2B"/>
    <w:rsid w:val="00AF6313"/>
    <w:rsid w:val="00AF6415"/>
    <w:rsid w:val="00AF6469"/>
    <w:rsid w:val="00AF6656"/>
    <w:rsid w:val="00AF6686"/>
    <w:rsid w:val="00AF6795"/>
    <w:rsid w:val="00AF683B"/>
    <w:rsid w:val="00AF6C9A"/>
    <w:rsid w:val="00AF6DB4"/>
    <w:rsid w:val="00AF6DD9"/>
    <w:rsid w:val="00AF6FC9"/>
    <w:rsid w:val="00AF7292"/>
    <w:rsid w:val="00AF74A3"/>
    <w:rsid w:val="00AF7DF9"/>
    <w:rsid w:val="00B003FC"/>
    <w:rsid w:val="00B00B0B"/>
    <w:rsid w:val="00B00E15"/>
    <w:rsid w:val="00B01049"/>
    <w:rsid w:val="00B01276"/>
    <w:rsid w:val="00B014A8"/>
    <w:rsid w:val="00B01A27"/>
    <w:rsid w:val="00B02215"/>
    <w:rsid w:val="00B022CA"/>
    <w:rsid w:val="00B023D1"/>
    <w:rsid w:val="00B027D5"/>
    <w:rsid w:val="00B0282F"/>
    <w:rsid w:val="00B02B97"/>
    <w:rsid w:val="00B030CD"/>
    <w:rsid w:val="00B03210"/>
    <w:rsid w:val="00B039E7"/>
    <w:rsid w:val="00B03D4F"/>
    <w:rsid w:val="00B04723"/>
    <w:rsid w:val="00B047AC"/>
    <w:rsid w:val="00B04C10"/>
    <w:rsid w:val="00B04C83"/>
    <w:rsid w:val="00B0535C"/>
    <w:rsid w:val="00B055CB"/>
    <w:rsid w:val="00B0593B"/>
    <w:rsid w:val="00B05968"/>
    <w:rsid w:val="00B059FF"/>
    <w:rsid w:val="00B06088"/>
    <w:rsid w:val="00B0611C"/>
    <w:rsid w:val="00B061D4"/>
    <w:rsid w:val="00B06582"/>
    <w:rsid w:val="00B06A3C"/>
    <w:rsid w:val="00B06DCE"/>
    <w:rsid w:val="00B072D3"/>
    <w:rsid w:val="00B07910"/>
    <w:rsid w:val="00B07C77"/>
    <w:rsid w:val="00B10007"/>
    <w:rsid w:val="00B1002A"/>
    <w:rsid w:val="00B10069"/>
    <w:rsid w:val="00B1035F"/>
    <w:rsid w:val="00B103E0"/>
    <w:rsid w:val="00B108A8"/>
    <w:rsid w:val="00B10A1E"/>
    <w:rsid w:val="00B10B8F"/>
    <w:rsid w:val="00B10F4D"/>
    <w:rsid w:val="00B10F51"/>
    <w:rsid w:val="00B1117D"/>
    <w:rsid w:val="00B1178A"/>
    <w:rsid w:val="00B117E9"/>
    <w:rsid w:val="00B119CF"/>
    <w:rsid w:val="00B11AA5"/>
    <w:rsid w:val="00B11C38"/>
    <w:rsid w:val="00B11E3E"/>
    <w:rsid w:val="00B120B4"/>
    <w:rsid w:val="00B1217B"/>
    <w:rsid w:val="00B12A46"/>
    <w:rsid w:val="00B132DB"/>
    <w:rsid w:val="00B13414"/>
    <w:rsid w:val="00B13A0B"/>
    <w:rsid w:val="00B13D06"/>
    <w:rsid w:val="00B13EE4"/>
    <w:rsid w:val="00B13FA1"/>
    <w:rsid w:val="00B14167"/>
    <w:rsid w:val="00B1436F"/>
    <w:rsid w:val="00B144E3"/>
    <w:rsid w:val="00B145EA"/>
    <w:rsid w:val="00B148B5"/>
    <w:rsid w:val="00B14DBC"/>
    <w:rsid w:val="00B14E91"/>
    <w:rsid w:val="00B14F62"/>
    <w:rsid w:val="00B15076"/>
    <w:rsid w:val="00B154AB"/>
    <w:rsid w:val="00B15764"/>
    <w:rsid w:val="00B15AAF"/>
    <w:rsid w:val="00B16995"/>
    <w:rsid w:val="00B169F6"/>
    <w:rsid w:val="00B16CAD"/>
    <w:rsid w:val="00B16DAF"/>
    <w:rsid w:val="00B16E6F"/>
    <w:rsid w:val="00B171C4"/>
    <w:rsid w:val="00B171DA"/>
    <w:rsid w:val="00B172E9"/>
    <w:rsid w:val="00B17784"/>
    <w:rsid w:val="00B178F8"/>
    <w:rsid w:val="00B17A40"/>
    <w:rsid w:val="00B17C2E"/>
    <w:rsid w:val="00B17E6A"/>
    <w:rsid w:val="00B20089"/>
    <w:rsid w:val="00B20386"/>
    <w:rsid w:val="00B20617"/>
    <w:rsid w:val="00B2088D"/>
    <w:rsid w:val="00B20A05"/>
    <w:rsid w:val="00B21031"/>
    <w:rsid w:val="00B211DB"/>
    <w:rsid w:val="00B216BD"/>
    <w:rsid w:val="00B216E7"/>
    <w:rsid w:val="00B21CC0"/>
    <w:rsid w:val="00B21EBF"/>
    <w:rsid w:val="00B2248B"/>
    <w:rsid w:val="00B22952"/>
    <w:rsid w:val="00B22DBC"/>
    <w:rsid w:val="00B23190"/>
    <w:rsid w:val="00B2330E"/>
    <w:rsid w:val="00B23408"/>
    <w:rsid w:val="00B235D4"/>
    <w:rsid w:val="00B237A1"/>
    <w:rsid w:val="00B2380D"/>
    <w:rsid w:val="00B23BEA"/>
    <w:rsid w:val="00B23D1C"/>
    <w:rsid w:val="00B23FE2"/>
    <w:rsid w:val="00B24BCE"/>
    <w:rsid w:val="00B25063"/>
    <w:rsid w:val="00B255F4"/>
    <w:rsid w:val="00B256A5"/>
    <w:rsid w:val="00B256F3"/>
    <w:rsid w:val="00B25825"/>
    <w:rsid w:val="00B25E8C"/>
    <w:rsid w:val="00B26249"/>
    <w:rsid w:val="00B26268"/>
    <w:rsid w:val="00B2657F"/>
    <w:rsid w:val="00B269BF"/>
    <w:rsid w:val="00B26A2A"/>
    <w:rsid w:val="00B26A44"/>
    <w:rsid w:val="00B27817"/>
    <w:rsid w:val="00B2783C"/>
    <w:rsid w:val="00B27896"/>
    <w:rsid w:val="00B27E82"/>
    <w:rsid w:val="00B27ED3"/>
    <w:rsid w:val="00B3053E"/>
    <w:rsid w:val="00B30912"/>
    <w:rsid w:val="00B30CD1"/>
    <w:rsid w:val="00B31364"/>
    <w:rsid w:val="00B314D5"/>
    <w:rsid w:val="00B3152D"/>
    <w:rsid w:val="00B3191F"/>
    <w:rsid w:val="00B32015"/>
    <w:rsid w:val="00B325F4"/>
    <w:rsid w:val="00B32722"/>
    <w:rsid w:val="00B3275B"/>
    <w:rsid w:val="00B32E10"/>
    <w:rsid w:val="00B32F85"/>
    <w:rsid w:val="00B33611"/>
    <w:rsid w:val="00B33B49"/>
    <w:rsid w:val="00B33F41"/>
    <w:rsid w:val="00B33F98"/>
    <w:rsid w:val="00B342ED"/>
    <w:rsid w:val="00B3445B"/>
    <w:rsid w:val="00B345AC"/>
    <w:rsid w:val="00B34C0A"/>
    <w:rsid w:val="00B34C3E"/>
    <w:rsid w:val="00B35040"/>
    <w:rsid w:val="00B3541F"/>
    <w:rsid w:val="00B3564C"/>
    <w:rsid w:val="00B356C8"/>
    <w:rsid w:val="00B35775"/>
    <w:rsid w:val="00B3586D"/>
    <w:rsid w:val="00B35A43"/>
    <w:rsid w:val="00B35A85"/>
    <w:rsid w:val="00B35C92"/>
    <w:rsid w:val="00B35EDC"/>
    <w:rsid w:val="00B363EF"/>
    <w:rsid w:val="00B36967"/>
    <w:rsid w:val="00B36A7C"/>
    <w:rsid w:val="00B36D7A"/>
    <w:rsid w:val="00B36F0E"/>
    <w:rsid w:val="00B3706A"/>
    <w:rsid w:val="00B3727E"/>
    <w:rsid w:val="00B37405"/>
    <w:rsid w:val="00B37598"/>
    <w:rsid w:val="00B37685"/>
    <w:rsid w:val="00B37A29"/>
    <w:rsid w:val="00B37D32"/>
    <w:rsid w:val="00B37D59"/>
    <w:rsid w:val="00B402A2"/>
    <w:rsid w:val="00B40ED3"/>
    <w:rsid w:val="00B41049"/>
    <w:rsid w:val="00B4117B"/>
    <w:rsid w:val="00B41277"/>
    <w:rsid w:val="00B414E2"/>
    <w:rsid w:val="00B419BB"/>
    <w:rsid w:val="00B41C7C"/>
    <w:rsid w:val="00B4205D"/>
    <w:rsid w:val="00B433E8"/>
    <w:rsid w:val="00B43865"/>
    <w:rsid w:val="00B43CE2"/>
    <w:rsid w:val="00B43EA9"/>
    <w:rsid w:val="00B4471F"/>
    <w:rsid w:val="00B44BB9"/>
    <w:rsid w:val="00B44D93"/>
    <w:rsid w:val="00B44F0B"/>
    <w:rsid w:val="00B45257"/>
    <w:rsid w:val="00B45657"/>
    <w:rsid w:val="00B45888"/>
    <w:rsid w:val="00B458C3"/>
    <w:rsid w:val="00B45D51"/>
    <w:rsid w:val="00B45EF8"/>
    <w:rsid w:val="00B465EA"/>
    <w:rsid w:val="00B4660B"/>
    <w:rsid w:val="00B467D8"/>
    <w:rsid w:val="00B46A05"/>
    <w:rsid w:val="00B46E0C"/>
    <w:rsid w:val="00B46F60"/>
    <w:rsid w:val="00B472D8"/>
    <w:rsid w:val="00B475B8"/>
    <w:rsid w:val="00B475EA"/>
    <w:rsid w:val="00B47727"/>
    <w:rsid w:val="00B478C2"/>
    <w:rsid w:val="00B47F23"/>
    <w:rsid w:val="00B504E3"/>
    <w:rsid w:val="00B50C2F"/>
    <w:rsid w:val="00B51118"/>
    <w:rsid w:val="00B515C1"/>
    <w:rsid w:val="00B517D0"/>
    <w:rsid w:val="00B51942"/>
    <w:rsid w:val="00B51B5B"/>
    <w:rsid w:val="00B51C79"/>
    <w:rsid w:val="00B51F9B"/>
    <w:rsid w:val="00B520EC"/>
    <w:rsid w:val="00B5299C"/>
    <w:rsid w:val="00B52B43"/>
    <w:rsid w:val="00B531B2"/>
    <w:rsid w:val="00B53631"/>
    <w:rsid w:val="00B53661"/>
    <w:rsid w:val="00B53BDF"/>
    <w:rsid w:val="00B53C03"/>
    <w:rsid w:val="00B53F55"/>
    <w:rsid w:val="00B54024"/>
    <w:rsid w:val="00B542E1"/>
    <w:rsid w:val="00B5474D"/>
    <w:rsid w:val="00B54A9F"/>
    <w:rsid w:val="00B54FDF"/>
    <w:rsid w:val="00B5559B"/>
    <w:rsid w:val="00B559BD"/>
    <w:rsid w:val="00B55E3F"/>
    <w:rsid w:val="00B55F63"/>
    <w:rsid w:val="00B55FC4"/>
    <w:rsid w:val="00B55FE8"/>
    <w:rsid w:val="00B5611D"/>
    <w:rsid w:val="00B56555"/>
    <w:rsid w:val="00B56DFE"/>
    <w:rsid w:val="00B56EEA"/>
    <w:rsid w:val="00B57116"/>
    <w:rsid w:val="00B573D2"/>
    <w:rsid w:val="00B573EC"/>
    <w:rsid w:val="00B57565"/>
    <w:rsid w:val="00B57654"/>
    <w:rsid w:val="00B57681"/>
    <w:rsid w:val="00B578AF"/>
    <w:rsid w:val="00B6027F"/>
    <w:rsid w:val="00B602D4"/>
    <w:rsid w:val="00B603FF"/>
    <w:rsid w:val="00B60427"/>
    <w:rsid w:val="00B604F0"/>
    <w:rsid w:val="00B60754"/>
    <w:rsid w:val="00B608C2"/>
    <w:rsid w:val="00B609AE"/>
    <w:rsid w:val="00B60B52"/>
    <w:rsid w:val="00B60DBD"/>
    <w:rsid w:val="00B60F50"/>
    <w:rsid w:val="00B60FEC"/>
    <w:rsid w:val="00B610A1"/>
    <w:rsid w:val="00B61451"/>
    <w:rsid w:val="00B616C4"/>
    <w:rsid w:val="00B62470"/>
    <w:rsid w:val="00B626B7"/>
    <w:rsid w:val="00B62951"/>
    <w:rsid w:val="00B62C7C"/>
    <w:rsid w:val="00B638BA"/>
    <w:rsid w:val="00B63AF5"/>
    <w:rsid w:val="00B63B89"/>
    <w:rsid w:val="00B64026"/>
    <w:rsid w:val="00B64B12"/>
    <w:rsid w:val="00B64BA0"/>
    <w:rsid w:val="00B64E70"/>
    <w:rsid w:val="00B6547F"/>
    <w:rsid w:val="00B660F8"/>
    <w:rsid w:val="00B66644"/>
    <w:rsid w:val="00B66ABF"/>
    <w:rsid w:val="00B66C2C"/>
    <w:rsid w:val="00B66C7E"/>
    <w:rsid w:val="00B66C8C"/>
    <w:rsid w:val="00B66EE0"/>
    <w:rsid w:val="00B670A0"/>
    <w:rsid w:val="00B670F7"/>
    <w:rsid w:val="00B671ED"/>
    <w:rsid w:val="00B6734B"/>
    <w:rsid w:val="00B6740B"/>
    <w:rsid w:val="00B674C2"/>
    <w:rsid w:val="00B678F8"/>
    <w:rsid w:val="00B70101"/>
    <w:rsid w:val="00B706C4"/>
    <w:rsid w:val="00B70A4A"/>
    <w:rsid w:val="00B70E5B"/>
    <w:rsid w:val="00B70F53"/>
    <w:rsid w:val="00B7132F"/>
    <w:rsid w:val="00B713C0"/>
    <w:rsid w:val="00B71727"/>
    <w:rsid w:val="00B71AA6"/>
    <w:rsid w:val="00B71B0D"/>
    <w:rsid w:val="00B71CBC"/>
    <w:rsid w:val="00B71D18"/>
    <w:rsid w:val="00B71D93"/>
    <w:rsid w:val="00B71DAC"/>
    <w:rsid w:val="00B71E3D"/>
    <w:rsid w:val="00B71E7F"/>
    <w:rsid w:val="00B71F19"/>
    <w:rsid w:val="00B721C3"/>
    <w:rsid w:val="00B7233F"/>
    <w:rsid w:val="00B724B3"/>
    <w:rsid w:val="00B7290D"/>
    <w:rsid w:val="00B72980"/>
    <w:rsid w:val="00B73178"/>
    <w:rsid w:val="00B73974"/>
    <w:rsid w:val="00B74096"/>
    <w:rsid w:val="00B74A35"/>
    <w:rsid w:val="00B74ABB"/>
    <w:rsid w:val="00B74D85"/>
    <w:rsid w:val="00B74E3E"/>
    <w:rsid w:val="00B75102"/>
    <w:rsid w:val="00B754D7"/>
    <w:rsid w:val="00B75657"/>
    <w:rsid w:val="00B756CB"/>
    <w:rsid w:val="00B75880"/>
    <w:rsid w:val="00B760B0"/>
    <w:rsid w:val="00B762A9"/>
    <w:rsid w:val="00B7673F"/>
    <w:rsid w:val="00B7684B"/>
    <w:rsid w:val="00B76F06"/>
    <w:rsid w:val="00B76FFB"/>
    <w:rsid w:val="00B770F1"/>
    <w:rsid w:val="00B7714A"/>
    <w:rsid w:val="00B77176"/>
    <w:rsid w:val="00B77324"/>
    <w:rsid w:val="00B775A8"/>
    <w:rsid w:val="00B7788B"/>
    <w:rsid w:val="00B77E07"/>
    <w:rsid w:val="00B800C8"/>
    <w:rsid w:val="00B80467"/>
    <w:rsid w:val="00B804B4"/>
    <w:rsid w:val="00B8092E"/>
    <w:rsid w:val="00B8095A"/>
    <w:rsid w:val="00B80D9E"/>
    <w:rsid w:val="00B80DAE"/>
    <w:rsid w:val="00B80EA0"/>
    <w:rsid w:val="00B8151E"/>
    <w:rsid w:val="00B81547"/>
    <w:rsid w:val="00B81786"/>
    <w:rsid w:val="00B81CC0"/>
    <w:rsid w:val="00B81DA4"/>
    <w:rsid w:val="00B81F72"/>
    <w:rsid w:val="00B82503"/>
    <w:rsid w:val="00B82506"/>
    <w:rsid w:val="00B82788"/>
    <w:rsid w:val="00B833F2"/>
    <w:rsid w:val="00B838F9"/>
    <w:rsid w:val="00B83B1F"/>
    <w:rsid w:val="00B83B7B"/>
    <w:rsid w:val="00B83D43"/>
    <w:rsid w:val="00B83D92"/>
    <w:rsid w:val="00B83E95"/>
    <w:rsid w:val="00B8419A"/>
    <w:rsid w:val="00B84827"/>
    <w:rsid w:val="00B8489B"/>
    <w:rsid w:val="00B84A61"/>
    <w:rsid w:val="00B84CB7"/>
    <w:rsid w:val="00B84E7F"/>
    <w:rsid w:val="00B84EBC"/>
    <w:rsid w:val="00B84FE7"/>
    <w:rsid w:val="00B85376"/>
    <w:rsid w:val="00B855DF"/>
    <w:rsid w:val="00B8567B"/>
    <w:rsid w:val="00B85D34"/>
    <w:rsid w:val="00B85EA3"/>
    <w:rsid w:val="00B864EE"/>
    <w:rsid w:val="00B86A0A"/>
    <w:rsid w:val="00B86EA6"/>
    <w:rsid w:val="00B87290"/>
    <w:rsid w:val="00B872A5"/>
    <w:rsid w:val="00B872D0"/>
    <w:rsid w:val="00B87988"/>
    <w:rsid w:val="00B87A57"/>
    <w:rsid w:val="00B87A8A"/>
    <w:rsid w:val="00B87B41"/>
    <w:rsid w:val="00B87C20"/>
    <w:rsid w:val="00B87FB7"/>
    <w:rsid w:val="00B90369"/>
    <w:rsid w:val="00B90A08"/>
    <w:rsid w:val="00B90E49"/>
    <w:rsid w:val="00B90F75"/>
    <w:rsid w:val="00B914B7"/>
    <w:rsid w:val="00B9186F"/>
    <w:rsid w:val="00B92177"/>
    <w:rsid w:val="00B923A8"/>
    <w:rsid w:val="00B9279C"/>
    <w:rsid w:val="00B9324B"/>
    <w:rsid w:val="00B93B3D"/>
    <w:rsid w:val="00B93B61"/>
    <w:rsid w:val="00B93BAE"/>
    <w:rsid w:val="00B93C51"/>
    <w:rsid w:val="00B93F00"/>
    <w:rsid w:val="00B943AF"/>
    <w:rsid w:val="00B944A9"/>
    <w:rsid w:val="00B9453A"/>
    <w:rsid w:val="00B950BE"/>
    <w:rsid w:val="00B953E1"/>
    <w:rsid w:val="00B956D6"/>
    <w:rsid w:val="00B95770"/>
    <w:rsid w:val="00B95B8F"/>
    <w:rsid w:val="00B95CE1"/>
    <w:rsid w:val="00B95D99"/>
    <w:rsid w:val="00B95E14"/>
    <w:rsid w:val="00B96666"/>
    <w:rsid w:val="00B96830"/>
    <w:rsid w:val="00B96B4F"/>
    <w:rsid w:val="00B96CA2"/>
    <w:rsid w:val="00B96DA4"/>
    <w:rsid w:val="00B96F13"/>
    <w:rsid w:val="00B9773D"/>
    <w:rsid w:val="00B9778D"/>
    <w:rsid w:val="00B97FD6"/>
    <w:rsid w:val="00BA00EF"/>
    <w:rsid w:val="00BA01A6"/>
    <w:rsid w:val="00BA059F"/>
    <w:rsid w:val="00BA062D"/>
    <w:rsid w:val="00BA0704"/>
    <w:rsid w:val="00BA0853"/>
    <w:rsid w:val="00BA0C1D"/>
    <w:rsid w:val="00BA0C89"/>
    <w:rsid w:val="00BA0D9F"/>
    <w:rsid w:val="00BA100A"/>
    <w:rsid w:val="00BA11D2"/>
    <w:rsid w:val="00BA146E"/>
    <w:rsid w:val="00BA1482"/>
    <w:rsid w:val="00BA15E9"/>
    <w:rsid w:val="00BA1A24"/>
    <w:rsid w:val="00BA1A72"/>
    <w:rsid w:val="00BA1CFA"/>
    <w:rsid w:val="00BA1D6F"/>
    <w:rsid w:val="00BA1ECD"/>
    <w:rsid w:val="00BA200E"/>
    <w:rsid w:val="00BA2184"/>
    <w:rsid w:val="00BA25B3"/>
    <w:rsid w:val="00BA2AFE"/>
    <w:rsid w:val="00BA2F33"/>
    <w:rsid w:val="00BA338D"/>
    <w:rsid w:val="00BA3399"/>
    <w:rsid w:val="00BA36C2"/>
    <w:rsid w:val="00BA3A4B"/>
    <w:rsid w:val="00BA45EA"/>
    <w:rsid w:val="00BA45EF"/>
    <w:rsid w:val="00BA47F7"/>
    <w:rsid w:val="00BA4996"/>
    <w:rsid w:val="00BA499C"/>
    <w:rsid w:val="00BA4C6C"/>
    <w:rsid w:val="00BA4C73"/>
    <w:rsid w:val="00BA4D59"/>
    <w:rsid w:val="00BA4D7B"/>
    <w:rsid w:val="00BA4DD3"/>
    <w:rsid w:val="00BA52C3"/>
    <w:rsid w:val="00BA583D"/>
    <w:rsid w:val="00BA5AC7"/>
    <w:rsid w:val="00BA5F8C"/>
    <w:rsid w:val="00BA6513"/>
    <w:rsid w:val="00BA6723"/>
    <w:rsid w:val="00BA6FBD"/>
    <w:rsid w:val="00BA719A"/>
    <w:rsid w:val="00BA72D2"/>
    <w:rsid w:val="00BA7863"/>
    <w:rsid w:val="00BA7AA3"/>
    <w:rsid w:val="00BB01F1"/>
    <w:rsid w:val="00BB0605"/>
    <w:rsid w:val="00BB08A1"/>
    <w:rsid w:val="00BB0D3B"/>
    <w:rsid w:val="00BB0E7C"/>
    <w:rsid w:val="00BB0F65"/>
    <w:rsid w:val="00BB12D0"/>
    <w:rsid w:val="00BB14F2"/>
    <w:rsid w:val="00BB15C0"/>
    <w:rsid w:val="00BB183E"/>
    <w:rsid w:val="00BB1B80"/>
    <w:rsid w:val="00BB1C61"/>
    <w:rsid w:val="00BB226F"/>
    <w:rsid w:val="00BB2318"/>
    <w:rsid w:val="00BB2699"/>
    <w:rsid w:val="00BB2996"/>
    <w:rsid w:val="00BB2BEE"/>
    <w:rsid w:val="00BB3844"/>
    <w:rsid w:val="00BB3E0C"/>
    <w:rsid w:val="00BB3EBB"/>
    <w:rsid w:val="00BB48C1"/>
    <w:rsid w:val="00BB4CC1"/>
    <w:rsid w:val="00BB4E23"/>
    <w:rsid w:val="00BB5017"/>
    <w:rsid w:val="00BB5068"/>
    <w:rsid w:val="00BB55C3"/>
    <w:rsid w:val="00BB582D"/>
    <w:rsid w:val="00BB5BE2"/>
    <w:rsid w:val="00BB5CB9"/>
    <w:rsid w:val="00BB5E21"/>
    <w:rsid w:val="00BB6BED"/>
    <w:rsid w:val="00BB6C75"/>
    <w:rsid w:val="00BB707B"/>
    <w:rsid w:val="00BB7086"/>
    <w:rsid w:val="00BB75DF"/>
    <w:rsid w:val="00BB7767"/>
    <w:rsid w:val="00BB79D4"/>
    <w:rsid w:val="00BB7A21"/>
    <w:rsid w:val="00BB7BD5"/>
    <w:rsid w:val="00BB7E22"/>
    <w:rsid w:val="00BC0424"/>
    <w:rsid w:val="00BC0BA8"/>
    <w:rsid w:val="00BC0EC3"/>
    <w:rsid w:val="00BC0EFC"/>
    <w:rsid w:val="00BC0FD1"/>
    <w:rsid w:val="00BC1040"/>
    <w:rsid w:val="00BC10AE"/>
    <w:rsid w:val="00BC11C9"/>
    <w:rsid w:val="00BC12CA"/>
    <w:rsid w:val="00BC13E5"/>
    <w:rsid w:val="00BC15A3"/>
    <w:rsid w:val="00BC1878"/>
    <w:rsid w:val="00BC1987"/>
    <w:rsid w:val="00BC1E6D"/>
    <w:rsid w:val="00BC2105"/>
    <w:rsid w:val="00BC2587"/>
    <w:rsid w:val="00BC293B"/>
    <w:rsid w:val="00BC29A0"/>
    <w:rsid w:val="00BC2D27"/>
    <w:rsid w:val="00BC2E86"/>
    <w:rsid w:val="00BC3013"/>
    <w:rsid w:val="00BC3639"/>
    <w:rsid w:val="00BC4648"/>
    <w:rsid w:val="00BC4B86"/>
    <w:rsid w:val="00BC4CC4"/>
    <w:rsid w:val="00BC4CD0"/>
    <w:rsid w:val="00BC4E7E"/>
    <w:rsid w:val="00BC574C"/>
    <w:rsid w:val="00BC5A70"/>
    <w:rsid w:val="00BC5BDD"/>
    <w:rsid w:val="00BC5CB5"/>
    <w:rsid w:val="00BC5DB2"/>
    <w:rsid w:val="00BC625E"/>
    <w:rsid w:val="00BC667D"/>
    <w:rsid w:val="00BC6B52"/>
    <w:rsid w:val="00BC6E56"/>
    <w:rsid w:val="00BC728A"/>
    <w:rsid w:val="00BC7330"/>
    <w:rsid w:val="00BC73B4"/>
    <w:rsid w:val="00BC7A9C"/>
    <w:rsid w:val="00BC7BC1"/>
    <w:rsid w:val="00BC7BCB"/>
    <w:rsid w:val="00BD01BF"/>
    <w:rsid w:val="00BD0685"/>
    <w:rsid w:val="00BD0714"/>
    <w:rsid w:val="00BD0927"/>
    <w:rsid w:val="00BD0AD4"/>
    <w:rsid w:val="00BD0C2A"/>
    <w:rsid w:val="00BD0F3E"/>
    <w:rsid w:val="00BD10A0"/>
    <w:rsid w:val="00BD11BA"/>
    <w:rsid w:val="00BD17D3"/>
    <w:rsid w:val="00BD193E"/>
    <w:rsid w:val="00BD1A04"/>
    <w:rsid w:val="00BD1C37"/>
    <w:rsid w:val="00BD1CD6"/>
    <w:rsid w:val="00BD1E28"/>
    <w:rsid w:val="00BD1EE6"/>
    <w:rsid w:val="00BD1F61"/>
    <w:rsid w:val="00BD1F7F"/>
    <w:rsid w:val="00BD20E1"/>
    <w:rsid w:val="00BD254B"/>
    <w:rsid w:val="00BD2815"/>
    <w:rsid w:val="00BD29D8"/>
    <w:rsid w:val="00BD3319"/>
    <w:rsid w:val="00BD381F"/>
    <w:rsid w:val="00BD39B3"/>
    <w:rsid w:val="00BD3F6C"/>
    <w:rsid w:val="00BD4350"/>
    <w:rsid w:val="00BD43C4"/>
    <w:rsid w:val="00BD44E5"/>
    <w:rsid w:val="00BD4CCF"/>
    <w:rsid w:val="00BD4D7C"/>
    <w:rsid w:val="00BD4DA3"/>
    <w:rsid w:val="00BD4F19"/>
    <w:rsid w:val="00BD51D4"/>
    <w:rsid w:val="00BD5261"/>
    <w:rsid w:val="00BD54C6"/>
    <w:rsid w:val="00BD617C"/>
    <w:rsid w:val="00BD62DC"/>
    <w:rsid w:val="00BD69F5"/>
    <w:rsid w:val="00BD6C46"/>
    <w:rsid w:val="00BD7174"/>
    <w:rsid w:val="00BD74D9"/>
    <w:rsid w:val="00BD79DD"/>
    <w:rsid w:val="00BD7BBD"/>
    <w:rsid w:val="00BD7DD8"/>
    <w:rsid w:val="00BD7E0C"/>
    <w:rsid w:val="00BD7EF8"/>
    <w:rsid w:val="00BE01B5"/>
    <w:rsid w:val="00BE023F"/>
    <w:rsid w:val="00BE08AF"/>
    <w:rsid w:val="00BE0951"/>
    <w:rsid w:val="00BE0AC5"/>
    <w:rsid w:val="00BE0D3C"/>
    <w:rsid w:val="00BE0F0E"/>
    <w:rsid w:val="00BE10C9"/>
    <w:rsid w:val="00BE157B"/>
    <w:rsid w:val="00BE17A0"/>
    <w:rsid w:val="00BE1E6F"/>
    <w:rsid w:val="00BE209A"/>
    <w:rsid w:val="00BE2133"/>
    <w:rsid w:val="00BE2459"/>
    <w:rsid w:val="00BE2786"/>
    <w:rsid w:val="00BE2912"/>
    <w:rsid w:val="00BE2D8C"/>
    <w:rsid w:val="00BE3051"/>
    <w:rsid w:val="00BE3628"/>
    <w:rsid w:val="00BE3736"/>
    <w:rsid w:val="00BE378A"/>
    <w:rsid w:val="00BE387D"/>
    <w:rsid w:val="00BE3907"/>
    <w:rsid w:val="00BE3ECC"/>
    <w:rsid w:val="00BE3F0C"/>
    <w:rsid w:val="00BE3F19"/>
    <w:rsid w:val="00BE401E"/>
    <w:rsid w:val="00BE41B5"/>
    <w:rsid w:val="00BE42E0"/>
    <w:rsid w:val="00BE45F5"/>
    <w:rsid w:val="00BE47A1"/>
    <w:rsid w:val="00BE47D9"/>
    <w:rsid w:val="00BE49B2"/>
    <w:rsid w:val="00BE4A68"/>
    <w:rsid w:val="00BE4C33"/>
    <w:rsid w:val="00BE4E3E"/>
    <w:rsid w:val="00BE4F1A"/>
    <w:rsid w:val="00BE53D2"/>
    <w:rsid w:val="00BE55C8"/>
    <w:rsid w:val="00BE570F"/>
    <w:rsid w:val="00BE57E0"/>
    <w:rsid w:val="00BE5CA8"/>
    <w:rsid w:val="00BE5FBA"/>
    <w:rsid w:val="00BE5FCD"/>
    <w:rsid w:val="00BE60D9"/>
    <w:rsid w:val="00BE6701"/>
    <w:rsid w:val="00BE6E45"/>
    <w:rsid w:val="00BE6E5B"/>
    <w:rsid w:val="00BE7004"/>
    <w:rsid w:val="00BE77ED"/>
    <w:rsid w:val="00BE7EB2"/>
    <w:rsid w:val="00BF086B"/>
    <w:rsid w:val="00BF098A"/>
    <w:rsid w:val="00BF098C"/>
    <w:rsid w:val="00BF0F7D"/>
    <w:rsid w:val="00BF135F"/>
    <w:rsid w:val="00BF1497"/>
    <w:rsid w:val="00BF15A5"/>
    <w:rsid w:val="00BF1B76"/>
    <w:rsid w:val="00BF2536"/>
    <w:rsid w:val="00BF2A3A"/>
    <w:rsid w:val="00BF2B3C"/>
    <w:rsid w:val="00BF2B4A"/>
    <w:rsid w:val="00BF2EC4"/>
    <w:rsid w:val="00BF330F"/>
    <w:rsid w:val="00BF38AE"/>
    <w:rsid w:val="00BF3C34"/>
    <w:rsid w:val="00BF3EA7"/>
    <w:rsid w:val="00BF41B8"/>
    <w:rsid w:val="00BF43B4"/>
    <w:rsid w:val="00BF4932"/>
    <w:rsid w:val="00BF49DD"/>
    <w:rsid w:val="00BF4CFE"/>
    <w:rsid w:val="00BF509B"/>
    <w:rsid w:val="00BF5175"/>
    <w:rsid w:val="00BF5298"/>
    <w:rsid w:val="00BF556F"/>
    <w:rsid w:val="00BF57EF"/>
    <w:rsid w:val="00BF5AD6"/>
    <w:rsid w:val="00BF5BDD"/>
    <w:rsid w:val="00BF5BE4"/>
    <w:rsid w:val="00BF6093"/>
    <w:rsid w:val="00BF632E"/>
    <w:rsid w:val="00BF65FA"/>
    <w:rsid w:val="00BF6D2F"/>
    <w:rsid w:val="00BF7110"/>
    <w:rsid w:val="00BF7164"/>
    <w:rsid w:val="00BF77C1"/>
    <w:rsid w:val="00BF79D9"/>
    <w:rsid w:val="00BF7C2D"/>
    <w:rsid w:val="00BF7CEC"/>
    <w:rsid w:val="00BF7DC4"/>
    <w:rsid w:val="00C002C2"/>
    <w:rsid w:val="00C008A1"/>
    <w:rsid w:val="00C00C16"/>
    <w:rsid w:val="00C01082"/>
    <w:rsid w:val="00C01BDC"/>
    <w:rsid w:val="00C01C8E"/>
    <w:rsid w:val="00C01F11"/>
    <w:rsid w:val="00C01FAD"/>
    <w:rsid w:val="00C02932"/>
    <w:rsid w:val="00C0298E"/>
    <w:rsid w:val="00C030CB"/>
    <w:rsid w:val="00C035B9"/>
    <w:rsid w:val="00C0400E"/>
    <w:rsid w:val="00C0433C"/>
    <w:rsid w:val="00C04E41"/>
    <w:rsid w:val="00C052F5"/>
    <w:rsid w:val="00C0545C"/>
    <w:rsid w:val="00C056CA"/>
    <w:rsid w:val="00C05731"/>
    <w:rsid w:val="00C0637F"/>
    <w:rsid w:val="00C0655C"/>
    <w:rsid w:val="00C075A6"/>
    <w:rsid w:val="00C07812"/>
    <w:rsid w:val="00C0787A"/>
    <w:rsid w:val="00C07884"/>
    <w:rsid w:val="00C078BB"/>
    <w:rsid w:val="00C07DA5"/>
    <w:rsid w:val="00C07F86"/>
    <w:rsid w:val="00C100DC"/>
    <w:rsid w:val="00C10426"/>
    <w:rsid w:val="00C10C77"/>
    <w:rsid w:val="00C10E9E"/>
    <w:rsid w:val="00C10EEF"/>
    <w:rsid w:val="00C11719"/>
    <w:rsid w:val="00C11D8A"/>
    <w:rsid w:val="00C120E2"/>
    <w:rsid w:val="00C120FE"/>
    <w:rsid w:val="00C122E7"/>
    <w:rsid w:val="00C12869"/>
    <w:rsid w:val="00C13379"/>
    <w:rsid w:val="00C13DDF"/>
    <w:rsid w:val="00C13FC2"/>
    <w:rsid w:val="00C14105"/>
    <w:rsid w:val="00C14386"/>
    <w:rsid w:val="00C14D48"/>
    <w:rsid w:val="00C150EA"/>
    <w:rsid w:val="00C15206"/>
    <w:rsid w:val="00C153AE"/>
    <w:rsid w:val="00C162DD"/>
    <w:rsid w:val="00C1649B"/>
    <w:rsid w:val="00C164E4"/>
    <w:rsid w:val="00C16790"/>
    <w:rsid w:val="00C16A00"/>
    <w:rsid w:val="00C17097"/>
    <w:rsid w:val="00C174AF"/>
    <w:rsid w:val="00C17654"/>
    <w:rsid w:val="00C177F7"/>
    <w:rsid w:val="00C20947"/>
    <w:rsid w:val="00C210A0"/>
    <w:rsid w:val="00C21390"/>
    <w:rsid w:val="00C218A1"/>
    <w:rsid w:val="00C21AE8"/>
    <w:rsid w:val="00C21C15"/>
    <w:rsid w:val="00C2212E"/>
    <w:rsid w:val="00C22192"/>
    <w:rsid w:val="00C22414"/>
    <w:rsid w:val="00C22507"/>
    <w:rsid w:val="00C22D0E"/>
    <w:rsid w:val="00C22D51"/>
    <w:rsid w:val="00C23004"/>
    <w:rsid w:val="00C230F8"/>
    <w:rsid w:val="00C23129"/>
    <w:rsid w:val="00C2347A"/>
    <w:rsid w:val="00C23687"/>
    <w:rsid w:val="00C2390F"/>
    <w:rsid w:val="00C23D9A"/>
    <w:rsid w:val="00C24340"/>
    <w:rsid w:val="00C244AC"/>
    <w:rsid w:val="00C244F2"/>
    <w:rsid w:val="00C24B10"/>
    <w:rsid w:val="00C250F7"/>
    <w:rsid w:val="00C251C9"/>
    <w:rsid w:val="00C256EB"/>
    <w:rsid w:val="00C257FA"/>
    <w:rsid w:val="00C2587A"/>
    <w:rsid w:val="00C259F6"/>
    <w:rsid w:val="00C25D0A"/>
    <w:rsid w:val="00C25D6D"/>
    <w:rsid w:val="00C2639A"/>
    <w:rsid w:val="00C267F9"/>
    <w:rsid w:val="00C26AED"/>
    <w:rsid w:val="00C26D0A"/>
    <w:rsid w:val="00C26DE2"/>
    <w:rsid w:val="00C2727E"/>
    <w:rsid w:val="00C275DC"/>
    <w:rsid w:val="00C2782D"/>
    <w:rsid w:val="00C27A68"/>
    <w:rsid w:val="00C30170"/>
    <w:rsid w:val="00C302A9"/>
    <w:rsid w:val="00C3047F"/>
    <w:rsid w:val="00C30641"/>
    <w:rsid w:val="00C30873"/>
    <w:rsid w:val="00C30C45"/>
    <w:rsid w:val="00C3136B"/>
    <w:rsid w:val="00C31539"/>
    <w:rsid w:val="00C316A8"/>
    <w:rsid w:val="00C3222C"/>
    <w:rsid w:val="00C3272F"/>
    <w:rsid w:val="00C3290E"/>
    <w:rsid w:val="00C3294F"/>
    <w:rsid w:val="00C32B54"/>
    <w:rsid w:val="00C32CAA"/>
    <w:rsid w:val="00C32D52"/>
    <w:rsid w:val="00C32E8C"/>
    <w:rsid w:val="00C330AC"/>
    <w:rsid w:val="00C33827"/>
    <w:rsid w:val="00C33C59"/>
    <w:rsid w:val="00C33E16"/>
    <w:rsid w:val="00C33FC5"/>
    <w:rsid w:val="00C341C7"/>
    <w:rsid w:val="00C34315"/>
    <w:rsid w:val="00C343BC"/>
    <w:rsid w:val="00C348D9"/>
    <w:rsid w:val="00C348EB"/>
    <w:rsid w:val="00C34902"/>
    <w:rsid w:val="00C34953"/>
    <w:rsid w:val="00C349FB"/>
    <w:rsid w:val="00C353DC"/>
    <w:rsid w:val="00C35607"/>
    <w:rsid w:val="00C35A8E"/>
    <w:rsid w:val="00C3603F"/>
    <w:rsid w:val="00C369B4"/>
    <w:rsid w:val="00C36AAB"/>
    <w:rsid w:val="00C36B2C"/>
    <w:rsid w:val="00C36EFC"/>
    <w:rsid w:val="00C36FD5"/>
    <w:rsid w:val="00C3717B"/>
    <w:rsid w:val="00C374F2"/>
    <w:rsid w:val="00C3764A"/>
    <w:rsid w:val="00C401DC"/>
    <w:rsid w:val="00C4020B"/>
    <w:rsid w:val="00C4043F"/>
    <w:rsid w:val="00C404FA"/>
    <w:rsid w:val="00C4074C"/>
    <w:rsid w:val="00C407BB"/>
    <w:rsid w:val="00C40803"/>
    <w:rsid w:val="00C408A4"/>
    <w:rsid w:val="00C409A7"/>
    <w:rsid w:val="00C40DE3"/>
    <w:rsid w:val="00C40E32"/>
    <w:rsid w:val="00C40F9C"/>
    <w:rsid w:val="00C4142D"/>
    <w:rsid w:val="00C414C8"/>
    <w:rsid w:val="00C41720"/>
    <w:rsid w:val="00C4193F"/>
    <w:rsid w:val="00C419BB"/>
    <w:rsid w:val="00C41F9D"/>
    <w:rsid w:val="00C41FCE"/>
    <w:rsid w:val="00C42232"/>
    <w:rsid w:val="00C42377"/>
    <w:rsid w:val="00C424DA"/>
    <w:rsid w:val="00C4277D"/>
    <w:rsid w:val="00C42C34"/>
    <w:rsid w:val="00C43151"/>
    <w:rsid w:val="00C4339F"/>
    <w:rsid w:val="00C43C2B"/>
    <w:rsid w:val="00C43D34"/>
    <w:rsid w:val="00C442C1"/>
    <w:rsid w:val="00C44BF0"/>
    <w:rsid w:val="00C451FD"/>
    <w:rsid w:val="00C45701"/>
    <w:rsid w:val="00C45DFA"/>
    <w:rsid w:val="00C45F1C"/>
    <w:rsid w:val="00C468CC"/>
    <w:rsid w:val="00C46A1C"/>
    <w:rsid w:val="00C46E57"/>
    <w:rsid w:val="00C46F4B"/>
    <w:rsid w:val="00C470E2"/>
    <w:rsid w:val="00C475D5"/>
    <w:rsid w:val="00C475F7"/>
    <w:rsid w:val="00C478B9"/>
    <w:rsid w:val="00C4799B"/>
    <w:rsid w:val="00C47D79"/>
    <w:rsid w:val="00C47F20"/>
    <w:rsid w:val="00C5011D"/>
    <w:rsid w:val="00C50171"/>
    <w:rsid w:val="00C502E6"/>
    <w:rsid w:val="00C50389"/>
    <w:rsid w:val="00C50790"/>
    <w:rsid w:val="00C50C8D"/>
    <w:rsid w:val="00C510A6"/>
    <w:rsid w:val="00C512D8"/>
    <w:rsid w:val="00C51365"/>
    <w:rsid w:val="00C5183F"/>
    <w:rsid w:val="00C51B0E"/>
    <w:rsid w:val="00C51EC0"/>
    <w:rsid w:val="00C52851"/>
    <w:rsid w:val="00C52928"/>
    <w:rsid w:val="00C529A3"/>
    <w:rsid w:val="00C52C68"/>
    <w:rsid w:val="00C5326E"/>
    <w:rsid w:val="00C53617"/>
    <w:rsid w:val="00C54190"/>
    <w:rsid w:val="00C543F1"/>
    <w:rsid w:val="00C5453A"/>
    <w:rsid w:val="00C5461C"/>
    <w:rsid w:val="00C5506B"/>
    <w:rsid w:val="00C552F9"/>
    <w:rsid w:val="00C553D6"/>
    <w:rsid w:val="00C5556B"/>
    <w:rsid w:val="00C55585"/>
    <w:rsid w:val="00C5574F"/>
    <w:rsid w:val="00C55B5F"/>
    <w:rsid w:val="00C55BCE"/>
    <w:rsid w:val="00C56161"/>
    <w:rsid w:val="00C5650C"/>
    <w:rsid w:val="00C569CA"/>
    <w:rsid w:val="00C56B19"/>
    <w:rsid w:val="00C57136"/>
    <w:rsid w:val="00C57888"/>
    <w:rsid w:val="00C57AAF"/>
    <w:rsid w:val="00C57BDC"/>
    <w:rsid w:val="00C60C43"/>
    <w:rsid w:val="00C60C94"/>
    <w:rsid w:val="00C612A9"/>
    <w:rsid w:val="00C616F7"/>
    <w:rsid w:val="00C61920"/>
    <w:rsid w:val="00C61BF2"/>
    <w:rsid w:val="00C621D0"/>
    <w:rsid w:val="00C62393"/>
    <w:rsid w:val="00C624AD"/>
    <w:rsid w:val="00C625AE"/>
    <w:rsid w:val="00C626A5"/>
    <w:rsid w:val="00C626A8"/>
    <w:rsid w:val="00C628D1"/>
    <w:rsid w:val="00C62F43"/>
    <w:rsid w:val="00C63099"/>
    <w:rsid w:val="00C6311A"/>
    <w:rsid w:val="00C63284"/>
    <w:rsid w:val="00C6386F"/>
    <w:rsid w:val="00C638E3"/>
    <w:rsid w:val="00C638EC"/>
    <w:rsid w:val="00C63B31"/>
    <w:rsid w:val="00C63C9D"/>
    <w:rsid w:val="00C63D93"/>
    <w:rsid w:val="00C64501"/>
    <w:rsid w:val="00C64F19"/>
    <w:rsid w:val="00C650D4"/>
    <w:rsid w:val="00C65314"/>
    <w:rsid w:val="00C6554C"/>
    <w:rsid w:val="00C657F8"/>
    <w:rsid w:val="00C658ED"/>
    <w:rsid w:val="00C65AA0"/>
    <w:rsid w:val="00C65AA3"/>
    <w:rsid w:val="00C65AFA"/>
    <w:rsid w:val="00C65CD4"/>
    <w:rsid w:val="00C66529"/>
    <w:rsid w:val="00C6690E"/>
    <w:rsid w:val="00C66F77"/>
    <w:rsid w:val="00C6730F"/>
    <w:rsid w:val="00C67391"/>
    <w:rsid w:val="00C67632"/>
    <w:rsid w:val="00C677FC"/>
    <w:rsid w:val="00C6793F"/>
    <w:rsid w:val="00C7052C"/>
    <w:rsid w:val="00C70903"/>
    <w:rsid w:val="00C70A9A"/>
    <w:rsid w:val="00C70D04"/>
    <w:rsid w:val="00C70E61"/>
    <w:rsid w:val="00C710F2"/>
    <w:rsid w:val="00C71167"/>
    <w:rsid w:val="00C7147B"/>
    <w:rsid w:val="00C717BF"/>
    <w:rsid w:val="00C718E9"/>
    <w:rsid w:val="00C71EE0"/>
    <w:rsid w:val="00C71F14"/>
    <w:rsid w:val="00C7226A"/>
    <w:rsid w:val="00C724DB"/>
    <w:rsid w:val="00C72768"/>
    <w:rsid w:val="00C729C3"/>
    <w:rsid w:val="00C72CB2"/>
    <w:rsid w:val="00C732A4"/>
    <w:rsid w:val="00C737D9"/>
    <w:rsid w:val="00C73A09"/>
    <w:rsid w:val="00C73E0C"/>
    <w:rsid w:val="00C73E8C"/>
    <w:rsid w:val="00C74208"/>
    <w:rsid w:val="00C7428A"/>
    <w:rsid w:val="00C74538"/>
    <w:rsid w:val="00C74753"/>
    <w:rsid w:val="00C74A69"/>
    <w:rsid w:val="00C74E4D"/>
    <w:rsid w:val="00C750D5"/>
    <w:rsid w:val="00C750E7"/>
    <w:rsid w:val="00C751A7"/>
    <w:rsid w:val="00C7532A"/>
    <w:rsid w:val="00C7569D"/>
    <w:rsid w:val="00C75C3C"/>
    <w:rsid w:val="00C7622D"/>
    <w:rsid w:val="00C7634D"/>
    <w:rsid w:val="00C7641C"/>
    <w:rsid w:val="00C7666E"/>
    <w:rsid w:val="00C767B8"/>
    <w:rsid w:val="00C7696A"/>
    <w:rsid w:val="00C76B6A"/>
    <w:rsid w:val="00C76E1E"/>
    <w:rsid w:val="00C76FE3"/>
    <w:rsid w:val="00C77027"/>
    <w:rsid w:val="00C774BB"/>
    <w:rsid w:val="00C778CA"/>
    <w:rsid w:val="00C77D08"/>
    <w:rsid w:val="00C77F38"/>
    <w:rsid w:val="00C77F6C"/>
    <w:rsid w:val="00C80349"/>
    <w:rsid w:val="00C8034F"/>
    <w:rsid w:val="00C809BB"/>
    <w:rsid w:val="00C80CA8"/>
    <w:rsid w:val="00C80E16"/>
    <w:rsid w:val="00C81083"/>
    <w:rsid w:val="00C8137B"/>
    <w:rsid w:val="00C8166E"/>
    <w:rsid w:val="00C8171F"/>
    <w:rsid w:val="00C81A72"/>
    <w:rsid w:val="00C81BFA"/>
    <w:rsid w:val="00C81C06"/>
    <w:rsid w:val="00C81C67"/>
    <w:rsid w:val="00C81D0F"/>
    <w:rsid w:val="00C823F2"/>
    <w:rsid w:val="00C82629"/>
    <w:rsid w:val="00C827B7"/>
    <w:rsid w:val="00C82914"/>
    <w:rsid w:val="00C829FC"/>
    <w:rsid w:val="00C82CE2"/>
    <w:rsid w:val="00C82CF6"/>
    <w:rsid w:val="00C82D25"/>
    <w:rsid w:val="00C82DB3"/>
    <w:rsid w:val="00C832DB"/>
    <w:rsid w:val="00C83804"/>
    <w:rsid w:val="00C8384F"/>
    <w:rsid w:val="00C83ED1"/>
    <w:rsid w:val="00C8401E"/>
    <w:rsid w:val="00C840F8"/>
    <w:rsid w:val="00C844AA"/>
    <w:rsid w:val="00C845B8"/>
    <w:rsid w:val="00C84703"/>
    <w:rsid w:val="00C84746"/>
    <w:rsid w:val="00C84E79"/>
    <w:rsid w:val="00C84F34"/>
    <w:rsid w:val="00C85064"/>
    <w:rsid w:val="00C8537C"/>
    <w:rsid w:val="00C8541E"/>
    <w:rsid w:val="00C85A10"/>
    <w:rsid w:val="00C85AC8"/>
    <w:rsid w:val="00C85EE5"/>
    <w:rsid w:val="00C86343"/>
    <w:rsid w:val="00C86446"/>
    <w:rsid w:val="00C864B2"/>
    <w:rsid w:val="00C864E6"/>
    <w:rsid w:val="00C86521"/>
    <w:rsid w:val="00C86888"/>
    <w:rsid w:val="00C86C94"/>
    <w:rsid w:val="00C872AA"/>
    <w:rsid w:val="00C872F9"/>
    <w:rsid w:val="00C87B7E"/>
    <w:rsid w:val="00C87C4B"/>
    <w:rsid w:val="00C87C7F"/>
    <w:rsid w:val="00C87EA8"/>
    <w:rsid w:val="00C87F47"/>
    <w:rsid w:val="00C901DA"/>
    <w:rsid w:val="00C903A2"/>
    <w:rsid w:val="00C904C6"/>
    <w:rsid w:val="00C9063B"/>
    <w:rsid w:val="00C90AAB"/>
    <w:rsid w:val="00C90DD5"/>
    <w:rsid w:val="00C91390"/>
    <w:rsid w:val="00C914F7"/>
    <w:rsid w:val="00C9170C"/>
    <w:rsid w:val="00C91745"/>
    <w:rsid w:val="00C91FBD"/>
    <w:rsid w:val="00C9298B"/>
    <w:rsid w:val="00C93156"/>
    <w:rsid w:val="00C932C4"/>
    <w:rsid w:val="00C93387"/>
    <w:rsid w:val="00C93A91"/>
    <w:rsid w:val="00C93CA8"/>
    <w:rsid w:val="00C9402D"/>
    <w:rsid w:val="00C941A2"/>
    <w:rsid w:val="00C94840"/>
    <w:rsid w:val="00C94956"/>
    <w:rsid w:val="00C94AEB"/>
    <w:rsid w:val="00C952F4"/>
    <w:rsid w:val="00C955BC"/>
    <w:rsid w:val="00C95E62"/>
    <w:rsid w:val="00C961A7"/>
    <w:rsid w:val="00C96319"/>
    <w:rsid w:val="00C964B3"/>
    <w:rsid w:val="00C965CF"/>
    <w:rsid w:val="00C965F1"/>
    <w:rsid w:val="00C9692C"/>
    <w:rsid w:val="00C96A24"/>
    <w:rsid w:val="00C96C05"/>
    <w:rsid w:val="00C96CB8"/>
    <w:rsid w:val="00C96D84"/>
    <w:rsid w:val="00C9783D"/>
    <w:rsid w:val="00CA01FF"/>
    <w:rsid w:val="00CA0489"/>
    <w:rsid w:val="00CA064C"/>
    <w:rsid w:val="00CA0701"/>
    <w:rsid w:val="00CA0EAC"/>
    <w:rsid w:val="00CA0F5D"/>
    <w:rsid w:val="00CA13AA"/>
    <w:rsid w:val="00CA20CD"/>
    <w:rsid w:val="00CA2A86"/>
    <w:rsid w:val="00CA319B"/>
    <w:rsid w:val="00CA347B"/>
    <w:rsid w:val="00CA378F"/>
    <w:rsid w:val="00CA38A3"/>
    <w:rsid w:val="00CA3C10"/>
    <w:rsid w:val="00CA3ED9"/>
    <w:rsid w:val="00CA45C4"/>
    <w:rsid w:val="00CA470C"/>
    <w:rsid w:val="00CA471F"/>
    <w:rsid w:val="00CA4A61"/>
    <w:rsid w:val="00CA4AB1"/>
    <w:rsid w:val="00CA51A6"/>
    <w:rsid w:val="00CA5427"/>
    <w:rsid w:val="00CA55A9"/>
    <w:rsid w:val="00CA5887"/>
    <w:rsid w:val="00CA5AEB"/>
    <w:rsid w:val="00CA5DA1"/>
    <w:rsid w:val="00CA63F2"/>
    <w:rsid w:val="00CA66A9"/>
    <w:rsid w:val="00CA690A"/>
    <w:rsid w:val="00CA6C9E"/>
    <w:rsid w:val="00CA6D67"/>
    <w:rsid w:val="00CA6FCC"/>
    <w:rsid w:val="00CA7320"/>
    <w:rsid w:val="00CA7494"/>
    <w:rsid w:val="00CA74A9"/>
    <w:rsid w:val="00CA7AFD"/>
    <w:rsid w:val="00CA7FF9"/>
    <w:rsid w:val="00CB00DB"/>
    <w:rsid w:val="00CB028D"/>
    <w:rsid w:val="00CB0B6A"/>
    <w:rsid w:val="00CB13A5"/>
    <w:rsid w:val="00CB16B0"/>
    <w:rsid w:val="00CB1CF8"/>
    <w:rsid w:val="00CB20E0"/>
    <w:rsid w:val="00CB2171"/>
    <w:rsid w:val="00CB253C"/>
    <w:rsid w:val="00CB2D9F"/>
    <w:rsid w:val="00CB3043"/>
    <w:rsid w:val="00CB389F"/>
    <w:rsid w:val="00CB3BC8"/>
    <w:rsid w:val="00CB3C08"/>
    <w:rsid w:val="00CB40BB"/>
    <w:rsid w:val="00CB4139"/>
    <w:rsid w:val="00CB41AE"/>
    <w:rsid w:val="00CB41BB"/>
    <w:rsid w:val="00CB434E"/>
    <w:rsid w:val="00CB4682"/>
    <w:rsid w:val="00CB480B"/>
    <w:rsid w:val="00CB4991"/>
    <w:rsid w:val="00CB4A34"/>
    <w:rsid w:val="00CB4BCB"/>
    <w:rsid w:val="00CB4E4F"/>
    <w:rsid w:val="00CB4ECD"/>
    <w:rsid w:val="00CB4F83"/>
    <w:rsid w:val="00CB531F"/>
    <w:rsid w:val="00CB5338"/>
    <w:rsid w:val="00CB548F"/>
    <w:rsid w:val="00CB58DB"/>
    <w:rsid w:val="00CB59A1"/>
    <w:rsid w:val="00CB5D51"/>
    <w:rsid w:val="00CB605A"/>
    <w:rsid w:val="00CB6094"/>
    <w:rsid w:val="00CB63DF"/>
    <w:rsid w:val="00CB661E"/>
    <w:rsid w:val="00CB6E27"/>
    <w:rsid w:val="00CB72EC"/>
    <w:rsid w:val="00CB773D"/>
    <w:rsid w:val="00CB7BE0"/>
    <w:rsid w:val="00CB7CE6"/>
    <w:rsid w:val="00CB7D69"/>
    <w:rsid w:val="00CB7D9B"/>
    <w:rsid w:val="00CB7F31"/>
    <w:rsid w:val="00CC01AF"/>
    <w:rsid w:val="00CC021C"/>
    <w:rsid w:val="00CC0555"/>
    <w:rsid w:val="00CC08F3"/>
    <w:rsid w:val="00CC0E7F"/>
    <w:rsid w:val="00CC0EC9"/>
    <w:rsid w:val="00CC1108"/>
    <w:rsid w:val="00CC15B1"/>
    <w:rsid w:val="00CC1854"/>
    <w:rsid w:val="00CC185D"/>
    <w:rsid w:val="00CC1C1A"/>
    <w:rsid w:val="00CC1E1A"/>
    <w:rsid w:val="00CC29A8"/>
    <w:rsid w:val="00CC29E3"/>
    <w:rsid w:val="00CC2AA2"/>
    <w:rsid w:val="00CC31CD"/>
    <w:rsid w:val="00CC37EF"/>
    <w:rsid w:val="00CC3871"/>
    <w:rsid w:val="00CC3A9B"/>
    <w:rsid w:val="00CC3CB1"/>
    <w:rsid w:val="00CC3F31"/>
    <w:rsid w:val="00CC4142"/>
    <w:rsid w:val="00CC4328"/>
    <w:rsid w:val="00CC434B"/>
    <w:rsid w:val="00CC46B2"/>
    <w:rsid w:val="00CC49F0"/>
    <w:rsid w:val="00CC4C03"/>
    <w:rsid w:val="00CC52A6"/>
    <w:rsid w:val="00CC5496"/>
    <w:rsid w:val="00CC5AF4"/>
    <w:rsid w:val="00CC5C18"/>
    <w:rsid w:val="00CC5CFB"/>
    <w:rsid w:val="00CC617F"/>
    <w:rsid w:val="00CC6483"/>
    <w:rsid w:val="00CC6A72"/>
    <w:rsid w:val="00CC6DCA"/>
    <w:rsid w:val="00CC6E58"/>
    <w:rsid w:val="00CC6EDC"/>
    <w:rsid w:val="00CC74D5"/>
    <w:rsid w:val="00CC74E6"/>
    <w:rsid w:val="00CC75F8"/>
    <w:rsid w:val="00CC7876"/>
    <w:rsid w:val="00CC7E69"/>
    <w:rsid w:val="00CC7F8E"/>
    <w:rsid w:val="00CD024E"/>
    <w:rsid w:val="00CD0261"/>
    <w:rsid w:val="00CD0724"/>
    <w:rsid w:val="00CD0825"/>
    <w:rsid w:val="00CD084A"/>
    <w:rsid w:val="00CD0C30"/>
    <w:rsid w:val="00CD1427"/>
    <w:rsid w:val="00CD1585"/>
    <w:rsid w:val="00CD180E"/>
    <w:rsid w:val="00CD18B9"/>
    <w:rsid w:val="00CD1991"/>
    <w:rsid w:val="00CD1EE7"/>
    <w:rsid w:val="00CD2099"/>
    <w:rsid w:val="00CD238E"/>
    <w:rsid w:val="00CD2663"/>
    <w:rsid w:val="00CD27F2"/>
    <w:rsid w:val="00CD28A2"/>
    <w:rsid w:val="00CD2BDC"/>
    <w:rsid w:val="00CD2CD6"/>
    <w:rsid w:val="00CD2E2C"/>
    <w:rsid w:val="00CD2EBF"/>
    <w:rsid w:val="00CD30D8"/>
    <w:rsid w:val="00CD3226"/>
    <w:rsid w:val="00CD3432"/>
    <w:rsid w:val="00CD34AA"/>
    <w:rsid w:val="00CD352A"/>
    <w:rsid w:val="00CD354E"/>
    <w:rsid w:val="00CD43CE"/>
    <w:rsid w:val="00CD458D"/>
    <w:rsid w:val="00CD4A21"/>
    <w:rsid w:val="00CD4A63"/>
    <w:rsid w:val="00CD4CA2"/>
    <w:rsid w:val="00CD4CCF"/>
    <w:rsid w:val="00CD55C2"/>
    <w:rsid w:val="00CD587F"/>
    <w:rsid w:val="00CD591C"/>
    <w:rsid w:val="00CD5EC6"/>
    <w:rsid w:val="00CD695A"/>
    <w:rsid w:val="00CD69EC"/>
    <w:rsid w:val="00CD6A93"/>
    <w:rsid w:val="00CD6D38"/>
    <w:rsid w:val="00CD6D70"/>
    <w:rsid w:val="00CD767A"/>
    <w:rsid w:val="00CD7847"/>
    <w:rsid w:val="00CD7929"/>
    <w:rsid w:val="00CD793B"/>
    <w:rsid w:val="00CD7B32"/>
    <w:rsid w:val="00CE03F0"/>
    <w:rsid w:val="00CE074F"/>
    <w:rsid w:val="00CE0BA3"/>
    <w:rsid w:val="00CE0D11"/>
    <w:rsid w:val="00CE0E54"/>
    <w:rsid w:val="00CE1923"/>
    <w:rsid w:val="00CE1C13"/>
    <w:rsid w:val="00CE1C2F"/>
    <w:rsid w:val="00CE2081"/>
    <w:rsid w:val="00CE2082"/>
    <w:rsid w:val="00CE2483"/>
    <w:rsid w:val="00CE2605"/>
    <w:rsid w:val="00CE293F"/>
    <w:rsid w:val="00CE306C"/>
    <w:rsid w:val="00CE3299"/>
    <w:rsid w:val="00CE38D4"/>
    <w:rsid w:val="00CE3CB6"/>
    <w:rsid w:val="00CE47E2"/>
    <w:rsid w:val="00CE47F8"/>
    <w:rsid w:val="00CE4CF4"/>
    <w:rsid w:val="00CE4E44"/>
    <w:rsid w:val="00CE4E89"/>
    <w:rsid w:val="00CE51F3"/>
    <w:rsid w:val="00CE5856"/>
    <w:rsid w:val="00CE64D9"/>
    <w:rsid w:val="00CE658E"/>
    <w:rsid w:val="00CE6616"/>
    <w:rsid w:val="00CE6B00"/>
    <w:rsid w:val="00CE734A"/>
    <w:rsid w:val="00CE772C"/>
    <w:rsid w:val="00CE798B"/>
    <w:rsid w:val="00CE7B3C"/>
    <w:rsid w:val="00CF0082"/>
    <w:rsid w:val="00CF0290"/>
    <w:rsid w:val="00CF034B"/>
    <w:rsid w:val="00CF048A"/>
    <w:rsid w:val="00CF04A9"/>
    <w:rsid w:val="00CF065E"/>
    <w:rsid w:val="00CF0A0E"/>
    <w:rsid w:val="00CF0A36"/>
    <w:rsid w:val="00CF0C9A"/>
    <w:rsid w:val="00CF1339"/>
    <w:rsid w:val="00CF1513"/>
    <w:rsid w:val="00CF15B0"/>
    <w:rsid w:val="00CF1B70"/>
    <w:rsid w:val="00CF1D95"/>
    <w:rsid w:val="00CF2091"/>
    <w:rsid w:val="00CF20EE"/>
    <w:rsid w:val="00CF2308"/>
    <w:rsid w:val="00CF2380"/>
    <w:rsid w:val="00CF2462"/>
    <w:rsid w:val="00CF25E3"/>
    <w:rsid w:val="00CF2671"/>
    <w:rsid w:val="00CF268F"/>
    <w:rsid w:val="00CF2877"/>
    <w:rsid w:val="00CF2FB7"/>
    <w:rsid w:val="00CF3237"/>
    <w:rsid w:val="00CF35F0"/>
    <w:rsid w:val="00CF3B1D"/>
    <w:rsid w:val="00CF3C39"/>
    <w:rsid w:val="00CF47A2"/>
    <w:rsid w:val="00CF47F8"/>
    <w:rsid w:val="00CF487B"/>
    <w:rsid w:val="00CF4ABC"/>
    <w:rsid w:val="00CF4F0F"/>
    <w:rsid w:val="00CF512C"/>
    <w:rsid w:val="00CF58BE"/>
    <w:rsid w:val="00CF5EAE"/>
    <w:rsid w:val="00CF5F0F"/>
    <w:rsid w:val="00CF61E2"/>
    <w:rsid w:val="00CF62B2"/>
    <w:rsid w:val="00CF62CE"/>
    <w:rsid w:val="00CF6DD4"/>
    <w:rsid w:val="00CF6FC2"/>
    <w:rsid w:val="00CF7438"/>
    <w:rsid w:val="00CF79E0"/>
    <w:rsid w:val="00CF7BA5"/>
    <w:rsid w:val="00CF7BB5"/>
    <w:rsid w:val="00CF7C2C"/>
    <w:rsid w:val="00D00049"/>
    <w:rsid w:val="00D0036C"/>
    <w:rsid w:val="00D00604"/>
    <w:rsid w:val="00D00997"/>
    <w:rsid w:val="00D009AC"/>
    <w:rsid w:val="00D009CA"/>
    <w:rsid w:val="00D00B9B"/>
    <w:rsid w:val="00D00F93"/>
    <w:rsid w:val="00D00FD4"/>
    <w:rsid w:val="00D013E8"/>
    <w:rsid w:val="00D01649"/>
    <w:rsid w:val="00D0206E"/>
    <w:rsid w:val="00D020E1"/>
    <w:rsid w:val="00D027E2"/>
    <w:rsid w:val="00D0315E"/>
    <w:rsid w:val="00D0342D"/>
    <w:rsid w:val="00D03ACC"/>
    <w:rsid w:val="00D03F72"/>
    <w:rsid w:val="00D0424E"/>
    <w:rsid w:val="00D042E4"/>
    <w:rsid w:val="00D044F7"/>
    <w:rsid w:val="00D0452C"/>
    <w:rsid w:val="00D0454F"/>
    <w:rsid w:val="00D04637"/>
    <w:rsid w:val="00D04AA4"/>
    <w:rsid w:val="00D04B45"/>
    <w:rsid w:val="00D054BA"/>
    <w:rsid w:val="00D059E7"/>
    <w:rsid w:val="00D059F8"/>
    <w:rsid w:val="00D05B79"/>
    <w:rsid w:val="00D06120"/>
    <w:rsid w:val="00D063BC"/>
    <w:rsid w:val="00D063CD"/>
    <w:rsid w:val="00D063E8"/>
    <w:rsid w:val="00D0693F"/>
    <w:rsid w:val="00D06B4E"/>
    <w:rsid w:val="00D06E57"/>
    <w:rsid w:val="00D06F53"/>
    <w:rsid w:val="00D070CC"/>
    <w:rsid w:val="00D07158"/>
    <w:rsid w:val="00D072AB"/>
    <w:rsid w:val="00D07453"/>
    <w:rsid w:val="00D07B33"/>
    <w:rsid w:val="00D07B8B"/>
    <w:rsid w:val="00D07C10"/>
    <w:rsid w:val="00D07D79"/>
    <w:rsid w:val="00D07E7E"/>
    <w:rsid w:val="00D100F1"/>
    <w:rsid w:val="00D102D4"/>
    <w:rsid w:val="00D103FD"/>
    <w:rsid w:val="00D10A4A"/>
    <w:rsid w:val="00D10D6E"/>
    <w:rsid w:val="00D10F1F"/>
    <w:rsid w:val="00D10FFA"/>
    <w:rsid w:val="00D11000"/>
    <w:rsid w:val="00D11085"/>
    <w:rsid w:val="00D11149"/>
    <w:rsid w:val="00D11296"/>
    <w:rsid w:val="00D11A3E"/>
    <w:rsid w:val="00D1228F"/>
    <w:rsid w:val="00D12561"/>
    <w:rsid w:val="00D12D34"/>
    <w:rsid w:val="00D12DAF"/>
    <w:rsid w:val="00D13229"/>
    <w:rsid w:val="00D1426C"/>
    <w:rsid w:val="00D146F3"/>
    <w:rsid w:val="00D14735"/>
    <w:rsid w:val="00D1479B"/>
    <w:rsid w:val="00D14A52"/>
    <w:rsid w:val="00D14FF4"/>
    <w:rsid w:val="00D15987"/>
    <w:rsid w:val="00D15AE3"/>
    <w:rsid w:val="00D15B71"/>
    <w:rsid w:val="00D15CE2"/>
    <w:rsid w:val="00D15D5A"/>
    <w:rsid w:val="00D15DBF"/>
    <w:rsid w:val="00D1643C"/>
    <w:rsid w:val="00D1697D"/>
    <w:rsid w:val="00D16C71"/>
    <w:rsid w:val="00D16D47"/>
    <w:rsid w:val="00D1720A"/>
    <w:rsid w:val="00D174B5"/>
    <w:rsid w:val="00D17A5B"/>
    <w:rsid w:val="00D17FCA"/>
    <w:rsid w:val="00D20147"/>
    <w:rsid w:val="00D20200"/>
    <w:rsid w:val="00D20B45"/>
    <w:rsid w:val="00D20F25"/>
    <w:rsid w:val="00D21298"/>
    <w:rsid w:val="00D2129E"/>
    <w:rsid w:val="00D218C3"/>
    <w:rsid w:val="00D21C88"/>
    <w:rsid w:val="00D21CAC"/>
    <w:rsid w:val="00D232A6"/>
    <w:rsid w:val="00D23519"/>
    <w:rsid w:val="00D23550"/>
    <w:rsid w:val="00D23B52"/>
    <w:rsid w:val="00D23D40"/>
    <w:rsid w:val="00D2416B"/>
    <w:rsid w:val="00D244BD"/>
    <w:rsid w:val="00D245E5"/>
    <w:rsid w:val="00D246D8"/>
    <w:rsid w:val="00D248E1"/>
    <w:rsid w:val="00D2492E"/>
    <w:rsid w:val="00D24A6E"/>
    <w:rsid w:val="00D24A8C"/>
    <w:rsid w:val="00D24B3B"/>
    <w:rsid w:val="00D24D78"/>
    <w:rsid w:val="00D24EC4"/>
    <w:rsid w:val="00D2529A"/>
    <w:rsid w:val="00D25385"/>
    <w:rsid w:val="00D254CF"/>
    <w:rsid w:val="00D25665"/>
    <w:rsid w:val="00D257CE"/>
    <w:rsid w:val="00D25AF3"/>
    <w:rsid w:val="00D25D37"/>
    <w:rsid w:val="00D26031"/>
    <w:rsid w:val="00D262D1"/>
    <w:rsid w:val="00D26457"/>
    <w:rsid w:val="00D264C0"/>
    <w:rsid w:val="00D264D5"/>
    <w:rsid w:val="00D264DD"/>
    <w:rsid w:val="00D26F35"/>
    <w:rsid w:val="00D26F7A"/>
    <w:rsid w:val="00D270BA"/>
    <w:rsid w:val="00D27153"/>
    <w:rsid w:val="00D271DF"/>
    <w:rsid w:val="00D271E0"/>
    <w:rsid w:val="00D27345"/>
    <w:rsid w:val="00D27905"/>
    <w:rsid w:val="00D27ACF"/>
    <w:rsid w:val="00D27BF5"/>
    <w:rsid w:val="00D27C6C"/>
    <w:rsid w:val="00D27F23"/>
    <w:rsid w:val="00D27F28"/>
    <w:rsid w:val="00D27FF1"/>
    <w:rsid w:val="00D30140"/>
    <w:rsid w:val="00D30737"/>
    <w:rsid w:val="00D30CFE"/>
    <w:rsid w:val="00D31559"/>
    <w:rsid w:val="00D318A1"/>
    <w:rsid w:val="00D31C48"/>
    <w:rsid w:val="00D31DEA"/>
    <w:rsid w:val="00D3207A"/>
    <w:rsid w:val="00D32236"/>
    <w:rsid w:val="00D33020"/>
    <w:rsid w:val="00D33211"/>
    <w:rsid w:val="00D335F1"/>
    <w:rsid w:val="00D33649"/>
    <w:rsid w:val="00D338A5"/>
    <w:rsid w:val="00D33A0B"/>
    <w:rsid w:val="00D33FA8"/>
    <w:rsid w:val="00D34026"/>
    <w:rsid w:val="00D341A9"/>
    <w:rsid w:val="00D342ED"/>
    <w:rsid w:val="00D34594"/>
    <w:rsid w:val="00D349FE"/>
    <w:rsid w:val="00D34CBA"/>
    <w:rsid w:val="00D34D7B"/>
    <w:rsid w:val="00D3520A"/>
    <w:rsid w:val="00D35246"/>
    <w:rsid w:val="00D35853"/>
    <w:rsid w:val="00D36512"/>
    <w:rsid w:val="00D3669D"/>
    <w:rsid w:val="00D36911"/>
    <w:rsid w:val="00D36B9C"/>
    <w:rsid w:val="00D36DC8"/>
    <w:rsid w:val="00D36F32"/>
    <w:rsid w:val="00D36FA1"/>
    <w:rsid w:val="00D371D7"/>
    <w:rsid w:val="00D37528"/>
    <w:rsid w:val="00D3779B"/>
    <w:rsid w:val="00D400B4"/>
    <w:rsid w:val="00D400E9"/>
    <w:rsid w:val="00D40319"/>
    <w:rsid w:val="00D405CE"/>
    <w:rsid w:val="00D406F6"/>
    <w:rsid w:val="00D4098F"/>
    <w:rsid w:val="00D40A09"/>
    <w:rsid w:val="00D40CE1"/>
    <w:rsid w:val="00D40FD9"/>
    <w:rsid w:val="00D4127F"/>
    <w:rsid w:val="00D419D4"/>
    <w:rsid w:val="00D41D91"/>
    <w:rsid w:val="00D426BA"/>
    <w:rsid w:val="00D434C1"/>
    <w:rsid w:val="00D440F2"/>
    <w:rsid w:val="00D443E4"/>
    <w:rsid w:val="00D444BF"/>
    <w:rsid w:val="00D4459F"/>
    <w:rsid w:val="00D44776"/>
    <w:rsid w:val="00D447A4"/>
    <w:rsid w:val="00D448C7"/>
    <w:rsid w:val="00D44C44"/>
    <w:rsid w:val="00D450AA"/>
    <w:rsid w:val="00D45477"/>
    <w:rsid w:val="00D45807"/>
    <w:rsid w:val="00D458F0"/>
    <w:rsid w:val="00D45C2E"/>
    <w:rsid w:val="00D45D98"/>
    <w:rsid w:val="00D4617F"/>
    <w:rsid w:val="00D4625A"/>
    <w:rsid w:val="00D463B3"/>
    <w:rsid w:val="00D4680E"/>
    <w:rsid w:val="00D469D0"/>
    <w:rsid w:val="00D46E19"/>
    <w:rsid w:val="00D47277"/>
    <w:rsid w:val="00D472E2"/>
    <w:rsid w:val="00D4731A"/>
    <w:rsid w:val="00D47613"/>
    <w:rsid w:val="00D4780A"/>
    <w:rsid w:val="00D47933"/>
    <w:rsid w:val="00D47BFB"/>
    <w:rsid w:val="00D500EC"/>
    <w:rsid w:val="00D5024D"/>
    <w:rsid w:val="00D50348"/>
    <w:rsid w:val="00D509FE"/>
    <w:rsid w:val="00D50F6F"/>
    <w:rsid w:val="00D512DF"/>
    <w:rsid w:val="00D51498"/>
    <w:rsid w:val="00D51568"/>
    <w:rsid w:val="00D517F6"/>
    <w:rsid w:val="00D518FC"/>
    <w:rsid w:val="00D51A96"/>
    <w:rsid w:val="00D52015"/>
    <w:rsid w:val="00D521FD"/>
    <w:rsid w:val="00D52450"/>
    <w:rsid w:val="00D52760"/>
    <w:rsid w:val="00D52CB7"/>
    <w:rsid w:val="00D52E7D"/>
    <w:rsid w:val="00D533FF"/>
    <w:rsid w:val="00D53603"/>
    <w:rsid w:val="00D53667"/>
    <w:rsid w:val="00D53AC2"/>
    <w:rsid w:val="00D53C26"/>
    <w:rsid w:val="00D54061"/>
    <w:rsid w:val="00D5434F"/>
    <w:rsid w:val="00D54DE9"/>
    <w:rsid w:val="00D54E0E"/>
    <w:rsid w:val="00D55304"/>
    <w:rsid w:val="00D55306"/>
    <w:rsid w:val="00D553B5"/>
    <w:rsid w:val="00D5560C"/>
    <w:rsid w:val="00D55780"/>
    <w:rsid w:val="00D55782"/>
    <w:rsid w:val="00D55AA6"/>
    <w:rsid w:val="00D55C1D"/>
    <w:rsid w:val="00D55C61"/>
    <w:rsid w:val="00D55C77"/>
    <w:rsid w:val="00D55D5B"/>
    <w:rsid w:val="00D55D94"/>
    <w:rsid w:val="00D5601B"/>
    <w:rsid w:val="00D56179"/>
    <w:rsid w:val="00D56A3A"/>
    <w:rsid w:val="00D56D81"/>
    <w:rsid w:val="00D570B0"/>
    <w:rsid w:val="00D570D7"/>
    <w:rsid w:val="00D575A0"/>
    <w:rsid w:val="00D577FA"/>
    <w:rsid w:val="00D57912"/>
    <w:rsid w:val="00D57B5C"/>
    <w:rsid w:val="00D57C57"/>
    <w:rsid w:val="00D57D24"/>
    <w:rsid w:val="00D57E05"/>
    <w:rsid w:val="00D60527"/>
    <w:rsid w:val="00D6056D"/>
    <w:rsid w:val="00D60571"/>
    <w:rsid w:val="00D6091D"/>
    <w:rsid w:val="00D60A9D"/>
    <w:rsid w:val="00D60C9E"/>
    <w:rsid w:val="00D60E28"/>
    <w:rsid w:val="00D60FD0"/>
    <w:rsid w:val="00D6114F"/>
    <w:rsid w:val="00D61D9C"/>
    <w:rsid w:val="00D61E06"/>
    <w:rsid w:val="00D62094"/>
    <w:rsid w:val="00D62226"/>
    <w:rsid w:val="00D62E87"/>
    <w:rsid w:val="00D63086"/>
    <w:rsid w:val="00D63545"/>
    <w:rsid w:val="00D63B26"/>
    <w:rsid w:val="00D63C5C"/>
    <w:rsid w:val="00D63C94"/>
    <w:rsid w:val="00D646B4"/>
    <w:rsid w:val="00D64C53"/>
    <w:rsid w:val="00D651F7"/>
    <w:rsid w:val="00D654C2"/>
    <w:rsid w:val="00D655C6"/>
    <w:rsid w:val="00D658B0"/>
    <w:rsid w:val="00D659C6"/>
    <w:rsid w:val="00D65B23"/>
    <w:rsid w:val="00D66758"/>
    <w:rsid w:val="00D66DD3"/>
    <w:rsid w:val="00D66EA6"/>
    <w:rsid w:val="00D671E2"/>
    <w:rsid w:val="00D6760A"/>
    <w:rsid w:val="00D67650"/>
    <w:rsid w:val="00D679F4"/>
    <w:rsid w:val="00D67ABF"/>
    <w:rsid w:val="00D67CE5"/>
    <w:rsid w:val="00D70194"/>
    <w:rsid w:val="00D70664"/>
    <w:rsid w:val="00D70670"/>
    <w:rsid w:val="00D70A1C"/>
    <w:rsid w:val="00D70A7F"/>
    <w:rsid w:val="00D71151"/>
    <w:rsid w:val="00D712C6"/>
    <w:rsid w:val="00D72096"/>
    <w:rsid w:val="00D72098"/>
    <w:rsid w:val="00D722A2"/>
    <w:rsid w:val="00D72B72"/>
    <w:rsid w:val="00D72F1E"/>
    <w:rsid w:val="00D73160"/>
    <w:rsid w:val="00D737F3"/>
    <w:rsid w:val="00D73C3A"/>
    <w:rsid w:val="00D73F2C"/>
    <w:rsid w:val="00D74168"/>
    <w:rsid w:val="00D742ED"/>
    <w:rsid w:val="00D744C1"/>
    <w:rsid w:val="00D74D64"/>
    <w:rsid w:val="00D74E8D"/>
    <w:rsid w:val="00D7502B"/>
    <w:rsid w:val="00D7533B"/>
    <w:rsid w:val="00D75744"/>
    <w:rsid w:val="00D75AEE"/>
    <w:rsid w:val="00D75C9D"/>
    <w:rsid w:val="00D76785"/>
    <w:rsid w:val="00D76825"/>
    <w:rsid w:val="00D76999"/>
    <w:rsid w:val="00D76A0C"/>
    <w:rsid w:val="00D76CDA"/>
    <w:rsid w:val="00D76D25"/>
    <w:rsid w:val="00D76D94"/>
    <w:rsid w:val="00D76FDA"/>
    <w:rsid w:val="00D77212"/>
    <w:rsid w:val="00D77A57"/>
    <w:rsid w:val="00D77C08"/>
    <w:rsid w:val="00D8041F"/>
    <w:rsid w:val="00D80948"/>
    <w:rsid w:val="00D80BA3"/>
    <w:rsid w:val="00D80F8F"/>
    <w:rsid w:val="00D8124C"/>
    <w:rsid w:val="00D81319"/>
    <w:rsid w:val="00D8160C"/>
    <w:rsid w:val="00D8162C"/>
    <w:rsid w:val="00D818BE"/>
    <w:rsid w:val="00D81C69"/>
    <w:rsid w:val="00D81F7B"/>
    <w:rsid w:val="00D82880"/>
    <w:rsid w:val="00D82A86"/>
    <w:rsid w:val="00D82BB0"/>
    <w:rsid w:val="00D8350B"/>
    <w:rsid w:val="00D83737"/>
    <w:rsid w:val="00D83A28"/>
    <w:rsid w:val="00D84249"/>
    <w:rsid w:val="00D844F7"/>
    <w:rsid w:val="00D84737"/>
    <w:rsid w:val="00D84A2F"/>
    <w:rsid w:val="00D84D63"/>
    <w:rsid w:val="00D8531C"/>
    <w:rsid w:val="00D85389"/>
    <w:rsid w:val="00D862EA"/>
    <w:rsid w:val="00D86687"/>
    <w:rsid w:val="00D87397"/>
    <w:rsid w:val="00D87825"/>
    <w:rsid w:val="00D878E7"/>
    <w:rsid w:val="00D879E5"/>
    <w:rsid w:val="00D87C1A"/>
    <w:rsid w:val="00D87CB9"/>
    <w:rsid w:val="00D87CF5"/>
    <w:rsid w:val="00D87E24"/>
    <w:rsid w:val="00D90163"/>
    <w:rsid w:val="00D90A43"/>
    <w:rsid w:val="00D90F45"/>
    <w:rsid w:val="00D9113F"/>
    <w:rsid w:val="00D91474"/>
    <w:rsid w:val="00D915A7"/>
    <w:rsid w:val="00D91B0F"/>
    <w:rsid w:val="00D91FF9"/>
    <w:rsid w:val="00D921DA"/>
    <w:rsid w:val="00D92604"/>
    <w:rsid w:val="00D928E6"/>
    <w:rsid w:val="00D92EAF"/>
    <w:rsid w:val="00D936DC"/>
    <w:rsid w:val="00D93B30"/>
    <w:rsid w:val="00D9480B"/>
    <w:rsid w:val="00D948ED"/>
    <w:rsid w:val="00D9494E"/>
    <w:rsid w:val="00D94A48"/>
    <w:rsid w:val="00D94C2A"/>
    <w:rsid w:val="00D94C78"/>
    <w:rsid w:val="00D94EAE"/>
    <w:rsid w:val="00D951C4"/>
    <w:rsid w:val="00D95703"/>
    <w:rsid w:val="00D9600D"/>
    <w:rsid w:val="00D9653B"/>
    <w:rsid w:val="00D96547"/>
    <w:rsid w:val="00D96976"/>
    <w:rsid w:val="00D96CAF"/>
    <w:rsid w:val="00D96F9A"/>
    <w:rsid w:val="00D9716D"/>
    <w:rsid w:val="00D9760C"/>
    <w:rsid w:val="00D977E7"/>
    <w:rsid w:val="00D977F0"/>
    <w:rsid w:val="00D97B75"/>
    <w:rsid w:val="00D97BFE"/>
    <w:rsid w:val="00D97C78"/>
    <w:rsid w:val="00D97F69"/>
    <w:rsid w:val="00DA0377"/>
    <w:rsid w:val="00DA10B4"/>
    <w:rsid w:val="00DA141C"/>
    <w:rsid w:val="00DA1472"/>
    <w:rsid w:val="00DA184C"/>
    <w:rsid w:val="00DA18AE"/>
    <w:rsid w:val="00DA1A28"/>
    <w:rsid w:val="00DA1EC9"/>
    <w:rsid w:val="00DA1EE2"/>
    <w:rsid w:val="00DA21A6"/>
    <w:rsid w:val="00DA2815"/>
    <w:rsid w:val="00DA2E51"/>
    <w:rsid w:val="00DA30E8"/>
    <w:rsid w:val="00DA36FF"/>
    <w:rsid w:val="00DA37A1"/>
    <w:rsid w:val="00DA37DA"/>
    <w:rsid w:val="00DA38E3"/>
    <w:rsid w:val="00DA3C61"/>
    <w:rsid w:val="00DA3F69"/>
    <w:rsid w:val="00DA3F93"/>
    <w:rsid w:val="00DA48C4"/>
    <w:rsid w:val="00DA49A2"/>
    <w:rsid w:val="00DA4A04"/>
    <w:rsid w:val="00DA4F7B"/>
    <w:rsid w:val="00DA4F8E"/>
    <w:rsid w:val="00DA5692"/>
    <w:rsid w:val="00DA580B"/>
    <w:rsid w:val="00DA5AEB"/>
    <w:rsid w:val="00DA5B52"/>
    <w:rsid w:val="00DA601A"/>
    <w:rsid w:val="00DA607B"/>
    <w:rsid w:val="00DA60FA"/>
    <w:rsid w:val="00DA62DB"/>
    <w:rsid w:val="00DA6420"/>
    <w:rsid w:val="00DA64A4"/>
    <w:rsid w:val="00DA64F8"/>
    <w:rsid w:val="00DA6C38"/>
    <w:rsid w:val="00DA6D4A"/>
    <w:rsid w:val="00DA7480"/>
    <w:rsid w:val="00DA767D"/>
    <w:rsid w:val="00DA7DFC"/>
    <w:rsid w:val="00DA7EB3"/>
    <w:rsid w:val="00DB028B"/>
    <w:rsid w:val="00DB0917"/>
    <w:rsid w:val="00DB094E"/>
    <w:rsid w:val="00DB0B39"/>
    <w:rsid w:val="00DB0C21"/>
    <w:rsid w:val="00DB12D2"/>
    <w:rsid w:val="00DB187F"/>
    <w:rsid w:val="00DB1D3D"/>
    <w:rsid w:val="00DB243C"/>
    <w:rsid w:val="00DB25F1"/>
    <w:rsid w:val="00DB2C7C"/>
    <w:rsid w:val="00DB2DE6"/>
    <w:rsid w:val="00DB2F1E"/>
    <w:rsid w:val="00DB2F51"/>
    <w:rsid w:val="00DB362F"/>
    <w:rsid w:val="00DB37A9"/>
    <w:rsid w:val="00DB3A8A"/>
    <w:rsid w:val="00DB3BAA"/>
    <w:rsid w:val="00DB3D57"/>
    <w:rsid w:val="00DB3E73"/>
    <w:rsid w:val="00DB414C"/>
    <w:rsid w:val="00DB4392"/>
    <w:rsid w:val="00DB44F7"/>
    <w:rsid w:val="00DB4D2E"/>
    <w:rsid w:val="00DB4EC2"/>
    <w:rsid w:val="00DB5C04"/>
    <w:rsid w:val="00DB63EB"/>
    <w:rsid w:val="00DB655C"/>
    <w:rsid w:val="00DB6768"/>
    <w:rsid w:val="00DB6D01"/>
    <w:rsid w:val="00DB6FA9"/>
    <w:rsid w:val="00DB6FFE"/>
    <w:rsid w:val="00DB7012"/>
    <w:rsid w:val="00DB72B4"/>
    <w:rsid w:val="00DB73A6"/>
    <w:rsid w:val="00DB74C2"/>
    <w:rsid w:val="00DB75A5"/>
    <w:rsid w:val="00DB75CE"/>
    <w:rsid w:val="00DB7CD6"/>
    <w:rsid w:val="00DB7CED"/>
    <w:rsid w:val="00DC0016"/>
    <w:rsid w:val="00DC0293"/>
    <w:rsid w:val="00DC0298"/>
    <w:rsid w:val="00DC06F1"/>
    <w:rsid w:val="00DC0ABE"/>
    <w:rsid w:val="00DC0BA0"/>
    <w:rsid w:val="00DC0E66"/>
    <w:rsid w:val="00DC1542"/>
    <w:rsid w:val="00DC1654"/>
    <w:rsid w:val="00DC202B"/>
    <w:rsid w:val="00DC2277"/>
    <w:rsid w:val="00DC2738"/>
    <w:rsid w:val="00DC2778"/>
    <w:rsid w:val="00DC29B2"/>
    <w:rsid w:val="00DC313F"/>
    <w:rsid w:val="00DC3173"/>
    <w:rsid w:val="00DC336E"/>
    <w:rsid w:val="00DC34A3"/>
    <w:rsid w:val="00DC3542"/>
    <w:rsid w:val="00DC36F3"/>
    <w:rsid w:val="00DC3BD7"/>
    <w:rsid w:val="00DC3F31"/>
    <w:rsid w:val="00DC3FF7"/>
    <w:rsid w:val="00DC438C"/>
    <w:rsid w:val="00DC449D"/>
    <w:rsid w:val="00DC454F"/>
    <w:rsid w:val="00DC45F4"/>
    <w:rsid w:val="00DC4F0A"/>
    <w:rsid w:val="00DC4FDE"/>
    <w:rsid w:val="00DC54A9"/>
    <w:rsid w:val="00DC5756"/>
    <w:rsid w:val="00DC5A99"/>
    <w:rsid w:val="00DC5C1C"/>
    <w:rsid w:val="00DC5FBE"/>
    <w:rsid w:val="00DC60D6"/>
    <w:rsid w:val="00DC612A"/>
    <w:rsid w:val="00DC65B3"/>
    <w:rsid w:val="00DC6645"/>
    <w:rsid w:val="00DC66F4"/>
    <w:rsid w:val="00DC6777"/>
    <w:rsid w:val="00DC6910"/>
    <w:rsid w:val="00DC6917"/>
    <w:rsid w:val="00DC7237"/>
    <w:rsid w:val="00DC77FE"/>
    <w:rsid w:val="00DC79CC"/>
    <w:rsid w:val="00DC7BA7"/>
    <w:rsid w:val="00DC7C4E"/>
    <w:rsid w:val="00DD054F"/>
    <w:rsid w:val="00DD06C7"/>
    <w:rsid w:val="00DD08B2"/>
    <w:rsid w:val="00DD0B51"/>
    <w:rsid w:val="00DD1002"/>
    <w:rsid w:val="00DD106D"/>
    <w:rsid w:val="00DD1295"/>
    <w:rsid w:val="00DD18F1"/>
    <w:rsid w:val="00DD190A"/>
    <w:rsid w:val="00DD1982"/>
    <w:rsid w:val="00DD199C"/>
    <w:rsid w:val="00DD1A7F"/>
    <w:rsid w:val="00DD1BA2"/>
    <w:rsid w:val="00DD1C2D"/>
    <w:rsid w:val="00DD1CDA"/>
    <w:rsid w:val="00DD206B"/>
    <w:rsid w:val="00DD28DB"/>
    <w:rsid w:val="00DD2C54"/>
    <w:rsid w:val="00DD2E80"/>
    <w:rsid w:val="00DD2F89"/>
    <w:rsid w:val="00DD3347"/>
    <w:rsid w:val="00DD3504"/>
    <w:rsid w:val="00DD351F"/>
    <w:rsid w:val="00DD36E0"/>
    <w:rsid w:val="00DD3838"/>
    <w:rsid w:val="00DD42CC"/>
    <w:rsid w:val="00DD4355"/>
    <w:rsid w:val="00DD4574"/>
    <w:rsid w:val="00DD465C"/>
    <w:rsid w:val="00DD4936"/>
    <w:rsid w:val="00DD49B8"/>
    <w:rsid w:val="00DD4A4E"/>
    <w:rsid w:val="00DD4C8F"/>
    <w:rsid w:val="00DD4C9B"/>
    <w:rsid w:val="00DD4F84"/>
    <w:rsid w:val="00DD4FF9"/>
    <w:rsid w:val="00DD5182"/>
    <w:rsid w:val="00DD51A2"/>
    <w:rsid w:val="00DD52A5"/>
    <w:rsid w:val="00DD5403"/>
    <w:rsid w:val="00DD5488"/>
    <w:rsid w:val="00DD582D"/>
    <w:rsid w:val="00DD682D"/>
    <w:rsid w:val="00DD6F9A"/>
    <w:rsid w:val="00DD70CA"/>
    <w:rsid w:val="00DD70CB"/>
    <w:rsid w:val="00DD7227"/>
    <w:rsid w:val="00DD723A"/>
    <w:rsid w:val="00DD723B"/>
    <w:rsid w:val="00DD74EC"/>
    <w:rsid w:val="00DD7576"/>
    <w:rsid w:val="00DD76C9"/>
    <w:rsid w:val="00DD7BF0"/>
    <w:rsid w:val="00DD7C3B"/>
    <w:rsid w:val="00DD7DBB"/>
    <w:rsid w:val="00DE002C"/>
    <w:rsid w:val="00DE02DC"/>
    <w:rsid w:val="00DE03C7"/>
    <w:rsid w:val="00DE05EF"/>
    <w:rsid w:val="00DE0E11"/>
    <w:rsid w:val="00DE0E61"/>
    <w:rsid w:val="00DE114D"/>
    <w:rsid w:val="00DE12DA"/>
    <w:rsid w:val="00DE13A0"/>
    <w:rsid w:val="00DE144F"/>
    <w:rsid w:val="00DE182D"/>
    <w:rsid w:val="00DE1951"/>
    <w:rsid w:val="00DE26A2"/>
    <w:rsid w:val="00DE289D"/>
    <w:rsid w:val="00DE2B71"/>
    <w:rsid w:val="00DE2E5E"/>
    <w:rsid w:val="00DE314B"/>
    <w:rsid w:val="00DE360D"/>
    <w:rsid w:val="00DE3688"/>
    <w:rsid w:val="00DE3900"/>
    <w:rsid w:val="00DE3C30"/>
    <w:rsid w:val="00DE3D23"/>
    <w:rsid w:val="00DE4187"/>
    <w:rsid w:val="00DE434D"/>
    <w:rsid w:val="00DE4394"/>
    <w:rsid w:val="00DE47DD"/>
    <w:rsid w:val="00DE47FA"/>
    <w:rsid w:val="00DE499E"/>
    <w:rsid w:val="00DE508F"/>
    <w:rsid w:val="00DE52B1"/>
    <w:rsid w:val="00DE58C5"/>
    <w:rsid w:val="00DE598E"/>
    <w:rsid w:val="00DE6234"/>
    <w:rsid w:val="00DE6552"/>
    <w:rsid w:val="00DE6A55"/>
    <w:rsid w:val="00DE6AFF"/>
    <w:rsid w:val="00DE6ECC"/>
    <w:rsid w:val="00DE7223"/>
    <w:rsid w:val="00DE73C5"/>
    <w:rsid w:val="00DE796B"/>
    <w:rsid w:val="00DE7D9E"/>
    <w:rsid w:val="00DF0207"/>
    <w:rsid w:val="00DF02D3"/>
    <w:rsid w:val="00DF059C"/>
    <w:rsid w:val="00DF0885"/>
    <w:rsid w:val="00DF0D5E"/>
    <w:rsid w:val="00DF1009"/>
    <w:rsid w:val="00DF103D"/>
    <w:rsid w:val="00DF10CA"/>
    <w:rsid w:val="00DF10ED"/>
    <w:rsid w:val="00DF13D8"/>
    <w:rsid w:val="00DF161B"/>
    <w:rsid w:val="00DF1E04"/>
    <w:rsid w:val="00DF204F"/>
    <w:rsid w:val="00DF23D3"/>
    <w:rsid w:val="00DF26C1"/>
    <w:rsid w:val="00DF270D"/>
    <w:rsid w:val="00DF2F8C"/>
    <w:rsid w:val="00DF324C"/>
    <w:rsid w:val="00DF36D8"/>
    <w:rsid w:val="00DF371F"/>
    <w:rsid w:val="00DF3B5B"/>
    <w:rsid w:val="00DF3E5B"/>
    <w:rsid w:val="00DF3FA3"/>
    <w:rsid w:val="00DF43A9"/>
    <w:rsid w:val="00DF483D"/>
    <w:rsid w:val="00DF49FF"/>
    <w:rsid w:val="00DF4C26"/>
    <w:rsid w:val="00DF4EAD"/>
    <w:rsid w:val="00DF51E1"/>
    <w:rsid w:val="00DF52F0"/>
    <w:rsid w:val="00DF5AF5"/>
    <w:rsid w:val="00DF5B0B"/>
    <w:rsid w:val="00DF5D48"/>
    <w:rsid w:val="00DF5DB2"/>
    <w:rsid w:val="00DF5E8F"/>
    <w:rsid w:val="00DF5F38"/>
    <w:rsid w:val="00DF5F3B"/>
    <w:rsid w:val="00DF5F85"/>
    <w:rsid w:val="00DF620D"/>
    <w:rsid w:val="00DF624A"/>
    <w:rsid w:val="00DF633F"/>
    <w:rsid w:val="00DF652F"/>
    <w:rsid w:val="00DF675E"/>
    <w:rsid w:val="00DF67A1"/>
    <w:rsid w:val="00DF684A"/>
    <w:rsid w:val="00DF68F1"/>
    <w:rsid w:val="00DF6C7F"/>
    <w:rsid w:val="00DF6F7F"/>
    <w:rsid w:val="00DF72E2"/>
    <w:rsid w:val="00DF77B3"/>
    <w:rsid w:val="00DF7811"/>
    <w:rsid w:val="00DF7E29"/>
    <w:rsid w:val="00E00024"/>
    <w:rsid w:val="00E000F2"/>
    <w:rsid w:val="00E002E3"/>
    <w:rsid w:val="00E00333"/>
    <w:rsid w:val="00E003B2"/>
    <w:rsid w:val="00E0046B"/>
    <w:rsid w:val="00E0055E"/>
    <w:rsid w:val="00E00C15"/>
    <w:rsid w:val="00E00C61"/>
    <w:rsid w:val="00E00EA0"/>
    <w:rsid w:val="00E01028"/>
    <w:rsid w:val="00E011CB"/>
    <w:rsid w:val="00E0130A"/>
    <w:rsid w:val="00E01315"/>
    <w:rsid w:val="00E014CA"/>
    <w:rsid w:val="00E0159F"/>
    <w:rsid w:val="00E01648"/>
    <w:rsid w:val="00E01900"/>
    <w:rsid w:val="00E01A9B"/>
    <w:rsid w:val="00E01BAB"/>
    <w:rsid w:val="00E01C1D"/>
    <w:rsid w:val="00E02184"/>
    <w:rsid w:val="00E0220A"/>
    <w:rsid w:val="00E026DE"/>
    <w:rsid w:val="00E02D69"/>
    <w:rsid w:val="00E02F72"/>
    <w:rsid w:val="00E03089"/>
    <w:rsid w:val="00E0310A"/>
    <w:rsid w:val="00E03677"/>
    <w:rsid w:val="00E03A23"/>
    <w:rsid w:val="00E03AB7"/>
    <w:rsid w:val="00E03D25"/>
    <w:rsid w:val="00E03D7A"/>
    <w:rsid w:val="00E03E5B"/>
    <w:rsid w:val="00E04170"/>
    <w:rsid w:val="00E04A11"/>
    <w:rsid w:val="00E04AAB"/>
    <w:rsid w:val="00E05069"/>
    <w:rsid w:val="00E05244"/>
    <w:rsid w:val="00E05912"/>
    <w:rsid w:val="00E05CB5"/>
    <w:rsid w:val="00E063EE"/>
    <w:rsid w:val="00E06615"/>
    <w:rsid w:val="00E066A2"/>
    <w:rsid w:val="00E0689F"/>
    <w:rsid w:val="00E06992"/>
    <w:rsid w:val="00E06AD4"/>
    <w:rsid w:val="00E06BB9"/>
    <w:rsid w:val="00E06E67"/>
    <w:rsid w:val="00E06F54"/>
    <w:rsid w:val="00E06F6A"/>
    <w:rsid w:val="00E073CF"/>
    <w:rsid w:val="00E0777F"/>
    <w:rsid w:val="00E07907"/>
    <w:rsid w:val="00E07DF1"/>
    <w:rsid w:val="00E07F19"/>
    <w:rsid w:val="00E07F89"/>
    <w:rsid w:val="00E10115"/>
    <w:rsid w:val="00E106AD"/>
    <w:rsid w:val="00E10AC4"/>
    <w:rsid w:val="00E10D3B"/>
    <w:rsid w:val="00E10D9E"/>
    <w:rsid w:val="00E10F04"/>
    <w:rsid w:val="00E114CA"/>
    <w:rsid w:val="00E115C9"/>
    <w:rsid w:val="00E11719"/>
    <w:rsid w:val="00E11A00"/>
    <w:rsid w:val="00E1200E"/>
    <w:rsid w:val="00E12265"/>
    <w:rsid w:val="00E122F3"/>
    <w:rsid w:val="00E12845"/>
    <w:rsid w:val="00E12ABC"/>
    <w:rsid w:val="00E12E01"/>
    <w:rsid w:val="00E12E35"/>
    <w:rsid w:val="00E1317C"/>
    <w:rsid w:val="00E133CC"/>
    <w:rsid w:val="00E139CB"/>
    <w:rsid w:val="00E13D5F"/>
    <w:rsid w:val="00E13F28"/>
    <w:rsid w:val="00E140B3"/>
    <w:rsid w:val="00E1435C"/>
    <w:rsid w:val="00E1463A"/>
    <w:rsid w:val="00E1496A"/>
    <w:rsid w:val="00E1499B"/>
    <w:rsid w:val="00E14AD6"/>
    <w:rsid w:val="00E14B68"/>
    <w:rsid w:val="00E14D55"/>
    <w:rsid w:val="00E15211"/>
    <w:rsid w:val="00E1578B"/>
    <w:rsid w:val="00E15E49"/>
    <w:rsid w:val="00E16320"/>
    <w:rsid w:val="00E16347"/>
    <w:rsid w:val="00E163EF"/>
    <w:rsid w:val="00E1643B"/>
    <w:rsid w:val="00E16579"/>
    <w:rsid w:val="00E16918"/>
    <w:rsid w:val="00E16CD2"/>
    <w:rsid w:val="00E16CF8"/>
    <w:rsid w:val="00E16D4A"/>
    <w:rsid w:val="00E16D9A"/>
    <w:rsid w:val="00E16DD8"/>
    <w:rsid w:val="00E1729F"/>
    <w:rsid w:val="00E174C3"/>
    <w:rsid w:val="00E17552"/>
    <w:rsid w:val="00E17BA0"/>
    <w:rsid w:val="00E2037F"/>
    <w:rsid w:val="00E20431"/>
    <w:rsid w:val="00E2045B"/>
    <w:rsid w:val="00E206B3"/>
    <w:rsid w:val="00E20926"/>
    <w:rsid w:val="00E20CFE"/>
    <w:rsid w:val="00E20DF5"/>
    <w:rsid w:val="00E20F4F"/>
    <w:rsid w:val="00E2108C"/>
    <w:rsid w:val="00E21123"/>
    <w:rsid w:val="00E2170E"/>
    <w:rsid w:val="00E2174F"/>
    <w:rsid w:val="00E218CF"/>
    <w:rsid w:val="00E21BB3"/>
    <w:rsid w:val="00E22075"/>
    <w:rsid w:val="00E22163"/>
    <w:rsid w:val="00E22816"/>
    <w:rsid w:val="00E22E3F"/>
    <w:rsid w:val="00E22F78"/>
    <w:rsid w:val="00E22FBE"/>
    <w:rsid w:val="00E23B67"/>
    <w:rsid w:val="00E23B78"/>
    <w:rsid w:val="00E23B8A"/>
    <w:rsid w:val="00E23C63"/>
    <w:rsid w:val="00E243BB"/>
    <w:rsid w:val="00E2483E"/>
    <w:rsid w:val="00E25AFE"/>
    <w:rsid w:val="00E25FCD"/>
    <w:rsid w:val="00E25FDA"/>
    <w:rsid w:val="00E25FDC"/>
    <w:rsid w:val="00E2652F"/>
    <w:rsid w:val="00E26628"/>
    <w:rsid w:val="00E26E8C"/>
    <w:rsid w:val="00E27189"/>
    <w:rsid w:val="00E27722"/>
    <w:rsid w:val="00E277E7"/>
    <w:rsid w:val="00E2795F"/>
    <w:rsid w:val="00E27AE5"/>
    <w:rsid w:val="00E27B74"/>
    <w:rsid w:val="00E27CBD"/>
    <w:rsid w:val="00E30A92"/>
    <w:rsid w:val="00E30BED"/>
    <w:rsid w:val="00E30E23"/>
    <w:rsid w:val="00E31015"/>
    <w:rsid w:val="00E31CFA"/>
    <w:rsid w:val="00E3237F"/>
    <w:rsid w:val="00E32B94"/>
    <w:rsid w:val="00E32DBC"/>
    <w:rsid w:val="00E32DEB"/>
    <w:rsid w:val="00E32EB2"/>
    <w:rsid w:val="00E32F76"/>
    <w:rsid w:val="00E331C1"/>
    <w:rsid w:val="00E33237"/>
    <w:rsid w:val="00E332B2"/>
    <w:rsid w:val="00E33383"/>
    <w:rsid w:val="00E336FA"/>
    <w:rsid w:val="00E33AA2"/>
    <w:rsid w:val="00E34425"/>
    <w:rsid w:val="00E34675"/>
    <w:rsid w:val="00E34954"/>
    <w:rsid w:val="00E34A64"/>
    <w:rsid w:val="00E34F63"/>
    <w:rsid w:val="00E34FF3"/>
    <w:rsid w:val="00E35463"/>
    <w:rsid w:val="00E35B30"/>
    <w:rsid w:val="00E35C22"/>
    <w:rsid w:val="00E35EB1"/>
    <w:rsid w:val="00E35F17"/>
    <w:rsid w:val="00E36788"/>
    <w:rsid w:val="00E36BF0"/>
    <w:rsid w:val="00E36E04"/>
    <w:rsid w:val="00E36FA5"/>
    <w:rsid w:val="00E36FC9"/>
    <w:rsid w:val="00E371B6"/>
    <w:rsid w:val="00E375E2"/>
    <w:rsid w:val="00E37CE4"/>
    <w:rsid w:val="00E400E4"/>
    <w:rsid w:val="00E4010B"/>
    <w:rsid w:val="00E401D0"/>
    <w:rsid w:val="00E40211"/>
    <w:rsid w:val="00E406E8"/>
    <w:rsid w:val="00E409EC"/>
    <w:rsid w:val="00E40B3C"/>
    <w:rsid w:val="00E40FA6"/>
    <w:rsid w:val="00E41080"/>
    <w:rsid w:val="00E41275"/>
    <w:rsid w:val="00E415A3"/>
    <w:rsid w:val="00E41613"/>
    <w:rsid w:val="00E41653"/>
    <w:rsid w:val="00E4174B"/>
    <w:rsid w:val="00E417F2"/>
    <w:rsid w:val="00E41E22"/>
    <w:rsid w:val="00E41E2B"/>
    <w:rsid w:val="00E41F09"/>
    <w:rsid w:val="00E42655"/>
    <w:rsid w:val="00E4265B"/>
    <w:rsid w:val="00E42ED9"/>
    <w:rsid w:val="00E42FAA"/>
    <w:rsid w:val="00E43168"/>
    <w:rsid w:val="00E4344F"/>
    <w:rsid w:val="00E4394F"/>
    <w:rsid w:val="00E43C30"/>
    <w:rsid w:val="00E4421C"/>
    <w:rsid w:val="00E44B9A"/>
    <w:rsid w:val="00E450BA"/>
    <w:rsid w:val="00E45752"/>
    <w:rsid w:val="00E45754"/>
    <w:rsid w:val="00E45755"/>
    <w:rsid w:val="00E457BF"/>
    <w:rsid w:val="00E45A12"/>
    <w:rsid w:val="00E45A69"/>
    <w:rsid w:val="00E45B00"/>
    <w:rsid w:val="00E45E40"/>
    <w:rsid w:val="00E45E6D"/>
    <w:rsid w:val="00E46243"/>
    <w:rsid w:val="00E463DB"/>
    <w:rsid w:val="00E46CEA"/>
    <w:rsid w:val="00E46E49"/>
    <w:rsid w:val="00E4720B"/>
    <w:rsid w:val="00E472AD"/>
    <w:rsid w:val="00E47353"/>
    <w:rsid w:val="00E477D0"/>
    <w:rsid w:val="00E478B0"/>
    <w:rsid w:val="00E47B74"/>
    <w:rsid w:val="00E501F7"/>
    <w:rsid w:val="00E50269"/>
    <w:rsid w:val="00E50516"/>
    <w:rsid w:val="00E50BC0"/>
    <w:rsid w:val="00E50DD6"/>
    <w:rsid w:val="00E51B16"/>
    <w:rsid w:val="00E51BDD"/>
    <w:rsid w:val="00E51C4D"/>
    <w:rsid w:val="00E51D02"/>
    <w:rsid w:val="00E51FBB"/>
    <w:rsid w:val="00E52108"/>
    <w:rsid w:val="00E5223C"/>
    <w:rsid w:val="00E52394"/>
    <w:rsid w:val="00E52680"/>
    <w:rsid w:val="00E530BD"/>
    <w:rsid w:val="00E533B1"/>
    <w:rsid w:val="00E53E92"/>
    <w:rsid w:val="00E53F39"/>
    <w:rsid w:val="00E540E5"/>
    <w:rsid w:val="00E5414A"/>
    <w:rsid w:val="00E541E6"/>
    <w:rsid w:val="00E54679"/>
    <w:rsid w:val="00E5481A"/>
    <w:rsid w:val="00E548FF"/>
    <w:rsid w:val="00E549BF"/>
    <w:rsid w:val="00E54E83"/>
    <w:rsid w:val="00E54ED5"/>
    <w:rsid w:val="00E54F34"/>
    <w:rsid w:val="00E5505A"/>
    <w:rsid w:val="00E5505C"/>
    <w:rsid w:val="00E5508A"/>
    <w:rsid w:val="00E554B5"/>
    <w:rsid w:val="00E554EC"/>
    <w:rsid w:val="00E55533"/>
    <w:rsid w:val="00E55932"/>
    <w:rsid w:val="00E55BDC"/>
    <w:rsid w:val="00E55CDA"/>
    <w:rsid w:val="00E56071"/>
    <w:rsid w:val="00E562BD"/>
    <w:rsid w:val="00E566FF"/>
    <w:rsid w:val="00E569C3"/>
    <w:rsid w:val="00E56BB9"/>
    <w:rsid w:val="00E5734E"/>
    <w:rsid w:val="00E57587"/>
    <w:rsid w:val="00E57AB3"/>
    <w:rsid w:val="00E57C9F"/>
    <w:rsid w:val="00E57D0A"/>
    <w:rsid w:val="00E57E88"/>
    <w:rsid w:val="00E60414"/>
    <w:rsid w:val="00E6042F"/>
    <w:rsid w:val="00E60512"/>
    <w:rsid w:val="00E6074D"/>
    <w:rsid w:val="00E608EC"/>
    <w:rsid w:val="00E60F23"/>
    <w:rsid w:val="00E612F6"/>
    <w:rsid w:val="00E619F1"/>
    <w:rsid w:val="00E61EC9"/>
    <w:rsid w:val="00E61F1D"/>
    <w:rsid w:val="00E61F8F"/>
    <w:rsid w:val="00E6244B"/>
    <w:rsid w:val="00E6245D"/>
    <w:rsid w:val="00E62638"/>
    <w:rsid w:val="00E626EB"/>
    <w:rsid w:val="00E62E97"/>
    <w:rsid w:val="00E6316C"/>
    <w:rsid w:val="00E63183"/>
    <w:rsid w:val="00E631A4"/>
    <w:rsid w:val="00E63D87"/>
    <w:rsid w:val="00E63E32"/>
    <w:rsid w:val="00E646D5"/>
    <w:rsid w:val="00E647B1"/>
    <w:rsid w:val="00E647DE"/>
    <w:rsid w:val="00E64BED"/>
    <w:rsid w:val="00E64DE7"/>
    <w:rsid w:val="00E65143"/>
    <w:rsid w:val="00E65217"/>
    <w:rsid w:val="00E6528B"/>
    <w:rsid w:val="00E652DF"/>
    <w:rsid w:val="00E657BC"/>
    <w:rsid w:val="00E658FD"/>
    <w:rsid w:val="00E65C3F"/>
    <w:rsid w:val="00E65DAD"/>
    <w:rsid w:val="00E661F3"/>
    <w:rsid w:val="00E666D3"/>
    <w:rsid w:val="00E66A6E"/>
    <w:rsid w:val="00E66C60"/>
    <w:rsid w:val="00E66E1D"/>
    <w:rsid w:val="00E6777C"/>
    <w:rsid w:val="00E67912"/>
    <w:rsid w:val="00E67983"/>
    <w:rsid w:val="00E67E70"/>
    <w:rsid w:val="00E70072"/>
    <w:rsid w:val="00E70221"/>
    <w:rsid w:val="00E705F5"/>
    <w:rsid w:val="00E70C62"/>
    <w:rsid w:val="00E7129E"/>
    <w:rsid w:val="00E712FF"/>
    <w:rsid w:val="00E715EF"/>
    <w:rsid w:val="00E71792"/>
    <w:rsid w:val="00E71A64"/>
    <w:rsid w:val="00E71D01"/>
    <w:rsid w:val="00E724D3"/>
    <w:rsid w:val="00E72B04"/>
    <w:rsid w:val="00E72EA6"/>
    <w:rsid w:val="00E736FE"/>
    <w:rsid w:val="00E73765"/>
    <w:rsid w:val="00E73785"/>
    <w:rsid w:val="00E73880"/>
    <w:rsid w:val="00E73960"/>
    <w:rsid w:val="00E73B89"/>
    <w:rsid w:val="00E73BB3"/>
    <w:rsid w:val="00E73E16"/>
    <w:rsid w:val="00E740D7"/>
    <w:rsid w:val="00E742ED"/>
    <w:rsid w:val="00E74969"/>
    <w:rsid w:val="00E74A1B"/>
    <w:rsid w:val="00E74F37"/>
    <w:rsid w:val="00E75152"/>
    <w:rsid w:val="00E758A1"/>
    <w:rsid w:val="00E75A41"/>
    <w:rsid w:val="00E75CBA"/>
    <w:rsid w:val="00E75CFA"/>
    <w:rsid w:val="00E75F6A"/>
    <w:rsid w:val="00E763FE"/>
    <w:rsid w:val="00E7670A"/>
    <w:rsid w:val="00E76ADE"/>
    <w:rsid w:val="00E76B19"/>
    <w:rsid w:val="00E76C6E"/>
    <w:rsid w:val="00E76D48"/>
    <w:rsid w:val="00E76EF7"/>
    <w:rsid w:val="00E76FAF"/>
    <w:rsid w:val="00E7705F"/>
    <w:rsid w:val="00E7712B"/>
    <w:rsid w:val="00E77583"/>
    <w:rsid w:val="00E77957"/>
    <w:rsid w:val="00E779D9"/>
    <w:rsid w:val="00E77F16"/>
    <w:rsid w:val="00E77FF2"/>
    <w:rsid w:val="00E80178"/>
    <w:rsid w:val="00E80C8A"/>
    <w:rsid w:val="00E81111"/>
    <w:rsid w:val="00E81565"/>
    <w:rsid w:val="00E81581"/>
    <w:rsid w:val="00E81EBE"/>
    <w:rsid w:val="00E8206B"/>
    <w:rsid w:val="00E82132"/>
    <w:rsid w:val="00E824CE"/>
    <w:rsid w:val="00E82617"/>
    <w:rsid w:val="00E82903"/>
    <w:rsid w:val="00E82A00"/>
    <w:rsid w:val="00E82BA2"/>
    <w:rsid w:val="00E82BFB"/>
    <w:rsid w:val="00E82CF1"/>
    <w:rsid w:val="00E8314B"/>
    <w:rsid w:val="00E8325B"/>
    <w:rsid w:val="00E835EF"/>
    <w:rsid w:val="00E8376A"/>
    <w:rsid w:val="00E838CF"/>
    <w:rsid w:val="00E83B08"/>
    <w:rsid w:val="00E83F6B"/>
    <w:rsid w:val="00E83F81"/>
    <w:rsid w:val="00E841C0"/>
    <w:rsid w:val="00E847E4"/>
    <w:rsid w:val="00E848D1"/>
    <w:rsid w:val="00E84AFE"/>
    <w:rsid w:val="00E84EEB"/>
    <w:rsid w:val="00E85566"/>
    <w:rsid w:val="00E856E3"/>
    <w:rsid w:val="00E8574A"/>
    <w:rsid w:val="00E859EB"/>
    <w:rsid w:val="00E85C11"/>
    <w:rsid w:val="00E85C6A"/>
    <w:rsid w:val="00E85CBD"/>
    <w:rsid w:val="00E85D67"/>
    <w:rsid w:val="00E85F6A"/>
    <w:rsid w:val="00E86445"/>
    <w:rsid w:val="00E86EB4"/>
    <w:rsid w:val="00E86EC9"/>
    <w:rsid w:val="00E86FFC"/>
    <w:rsid w:val="00E872AE"/>
    <w:rsid w:val="00E876C8"/>
    <w:rsid w:val="00E876E8"/>
    <w:rsid w:val="00E8793B"/>
    <w:rsid w:val="00E8796D"/>
    <w:rsid w:val="00E90071"/>
    <w:rsid w:val="00E90389"/>
    <w:rsid w:val="00E903A9"/>
    <w:rsid w:val="00E9097F"/>
    <w:rsid w:val="00E90A6D"/>
    <w:rsid w:val="00E90C35"/>
    <w:rsid w:val="00E91111"/>
    <w:rsid w:val="00E91340"/>
    <w:rsid w:val="00E91569"/>
    <w:rsid w:val="00E91890"/>
    <w:rsid w:val="00E919DE"/>
    <w:rsid w:val="00E91C25"/>
    <w:rsid w:val="00E924A6"/>
    <w:rsid w:val="00E92794"/>
    <w:rsid w:val="00E9287B"/>
    <w:rsid w:val="00E92CCC"/>
    <w:rsid w:val="00E92DF1"/>
    <w:rsid w:val="00E92EED"/>
    <w:rsid w:val="00E92F05"/>
    <w:rsid w:val="00E93129"/>
    <w:rsid w:val="00E93534"/>
    <w:rsid w:val="00E9357C"/>
    <w:rsid w:val="00E937EF"/>
    <w:rsid w:val="00E93A9A"/>
    <w:rsid w:val="00E93C8C"/>
    <w:rsid w:val="00E944F8"/>
    <w:rsid w:val="00E94811"/>
    <w:rsid w:val="00E94B79"/>
    <w:rsid w:val="00E94CD3"/>
    <w:rsid w:val="00E94F78"/>
    <w:rsid w:val="00E9516B"/>
    <w:rsid w:val="00E96146"/>
    <w:rsid w:val="00E961D7"/>
    <w:rsid w:val="00E963F9"/>
    <w:rsid w:val="00E966FE"/>
    <w:rsid w:val="00E96865"/>
    <w:rsid w:val="00E96935"/>
    <w:rsid w:val="00E96F8F"/>
    <w:rsid w:val="00E96F95"/>
    <w:rsid w:val="00E9780C"/>
    <w:rsid w:val="00E97993"/>
    <w:rsid w:val="00E97B51"/>
    <w:rsid w:val="00EA02B5"/>
    <w:rsid w:val="00EA074E"/>
    <w:rsid w:val="00EA0B23"/>
    <w:rsid w:val="00EA0B52"/>
    <w:rsid w:val="00EA0E08"/>
    <w:rsid w:val="00EA1178"/>
    <w:rsid w:val="00EA12ED"/>
    <w:rsid w:val="00EA1372"/>
    <w:rsid w:val="00EA1648"/>
    <w:rsid w:val="00EA1AA0"/>
    <w:rsid w:val="00EA1BB8"/>
    <w:rsid w:val="00EA1E0E"/>
    <w:rsid w:val="00EA1F02"/>
    <w:rsid w:val="00EA1FBF"/>
    <w:rsid w:val="00EA2044"/>
    <w:rsid w:val="00EA2369"/>
    <w:rsid w:val="00EA2791"/>
    <w:rsid w:val="00EA3113"/>
    <w:rsid w:val="00EA3218"/>
    <w:rsid w:val="00EA33C9"/>
    <w:rsid w:val="00EA3452"/>
    <w:rsid w:val="00EA366B"/>
    <w:rsid w:val="00EA3A3B"/>
    <w:rsid w:val="00EA3D4F"/>
    <w:rsid w:val="00EA4119"/>
    <w:rsid w:val="00EA4272"/>
    <w:rsid w:val="00EA43F4"/>
    <w:rsid w:val="00EA4473"/>
    <w:rsid w:val="00EA4641"/>
    <w:rsid w:val="00EA465C"/>
    <w:rsid w:val="00EA497F"/>
    <w:rsid w:val="00EA4B82"/>
    <w:rsid w:val="00EA4F9B"/>
    <w:rsid w:val="00EA5020"/>
    <w:rsid w:val="00EA5245"/>
    <w:rsid w:val="00EA55AF"/>
    <w:rsid w:val="00EA5921"/>
    <w:rsid w:val="00EA5C81"/>
    <w:rsid w:val="00EA5EF4"/>
    <w:rsid w:val="00EA6123"/>
    <w:rsid w:val="00EA6242"/>
    <w:rsid w:val="00EA6400"/>
    <w:rsid w:val="00EA6414"/>
    <w:rsid w:val="00EA651D"/>
    <w:rsid w:val="00EA6552"/>
    <w:rsid w:val="00EA686A"/>
    <w:rsid w:val="00EA68FD"/>
    <w:rsid w:val="00EA6E87"/>
    <w:rsid w:val="00EA757A"/>
    <w:rsid w:val="00EA76C4"/>
    <w:rsid w:val="00EA7802"/>
    <w:rsid w:val="00EA797A"/>
    <w:rsid w:val="00EA7A78"/>
    <w:rsid w:val="00EB048E"/>
    <w:rsid w:val="00EB05CB"/>
    <w:rsid w:val="00EB0653"/>
    <w:rsid w:val="00EB0ADD"/>
    <w:rsid w:val="00EB0DC0"/>
    <w:rsid w:val="00EB0DF1"/>
    <w:rsid w:val="00EB0F08"/>
    <w:rsid w:val="00EB10EA"/>
    <w:rsid w:val="00EB11EA"/>
    <w:rsid w:val="00EB121E"/>
    <w:rsid w:val="00EB12FC"/>
    <w:rsid w:val="00EB16D6"/>
    <w:rsid w:val="00EB16EC"/>
    <w:rsid w:val="00EB1726"/>
    <w:rsid w:val="00EB1B67"/>
    <w:rsid w:val="00EB1C09"/>
    <w:rsid w:val="00EB1FF4"/>
    <w:rsid w:val="00EB2758"/>
    <w:rsid w:val="00EB2765"/>
    <w:rsid w:val="00EB29FF"/>
    <w:rsid w:val="00EB2AD4"/>
    <w:rsid w:val="00EB2CA4"/>
    <w:rsid w:val="00EB2CAC"/>
    <w:rsid w:val="00EB2D09"/>
    <w:rsid w:val="00EB36E2"/>
    <w:rsid w:val="00EB3D6A"/>
    <w:rsid w:val="00EB3EA2"/>
    <w:rsid w:val="00EB3EC0"/>
    <w:rsid w:val="00EB44E9"/>
    <w:rsid w:val="00EB4749"/>
    <w:rsid w:val="00EB4910"/>
    <w:rsid w:val="00EB4982"/>
    <w:rsid w:val="00EB4E86"/>
    <w:rsid w:val="00EB52F1"/>
    <w:rsid w:val="00EB5399"/>
    <w:rsid w:val="00EB53C0"/>
    <w:rsid w:val="00EB5758"/>
    <w:rsid w:val="00EB60EF"/>
    <w:rsid w:val="00EB64B8"/>
    <w:rsid w:val="00EB6734"/>
    <w:rsid w:val="00EB6886"/>
    <w:rsid w:val="00EB696B"/>
    <w:rsid w:val="00EB6C7C"/>
    <w:rsid w:val="00EB6EB9"/>
    <w:rsid w:val="00EB6EFB"/>
    <w:rsid w:val="00EB705A"/>
    <w:rsid w:val="00EB717B"/>
    <w:rsid w:val="00EB77F5"/>
    <w:rsid w:val="00EC0018"/>
    <w:rsid w:val="00EC0233"/>
    <w:rsid w:val="00EC02AB"/>
    <w:rsid w:val="00EC0396"/>
    <w:rsid w:val="00EC03D8"/>
    <w:rsid w:val="00EC042F"/>
    <w:rsid w:val="00EC053A"/>
    <w:rsid w:val="00EC0765"/>
    <w:rsid w:val="00EC0BE3"/>
    <w:rsid w:val="00EC0CA5"/>
    <w:rsid w:val="00EC0EAF"/>
    <w:rsid w:val="00EC1062"/>
    <w:rsid w:val="00EC1122"/>
    <w:rsid w:val="00EC11E0"/>
    <w:rsid w:val="00EC1BAF"/>
    <w:rsid w:val="00EC1C96"/>
    <w:rsid w:val="00EC21B3"/>
    <w:rsid w:val="00EC227E"/>
    <w:rsid w:val="00EC23C5"/>
    <w:rsid w:val="00EC23D6"/>
    <w:rsid w:val="00EC243D"/>
    <w:rsid w:val="00EC2597"/>
    <w:rsid w:val="00EC2BE3"/>
    <w:rsid w:val="00EC2BEB"/>
    <w:rsid w:val="00EC2EBD"/>
    <w:rsid w:val="00EC2EFD"/>
    <w:rsid w:val="00EC2FE8"/>
    <w:rsid w:val="00EC3DF3"/>
    <w:rsid w:val="00EC413D"/>
    <w:rsid w:val="00EC4494"/>
    <w:rsid w:val="00EC4E12"/>
    <w:rsid w:val="00EC501B"/>
    <w:rsid w:val="00EC5343"/>
    <w:rsid w:val="00EC5350"/>
    <w:rsid w:val="00EC5731"/>
    <w:rsid w:val="00EC58E0"/>
    <w:rsid w:val="00EC5D5E"/>
    <w:rsid w:val="00EC6478"/>
    <w:rsid w:val="00EC6600"/>
    <w:rsid w:val="00EC712E"/>
    <w:rsid w:val="00EC744C"/>
    <w:rsid w:val="00EC76A6"/>
    <w:rsid w:val="00EC7766"/>
    <w:rsid w:val="00EC7D4D"/>
    <w:rsid w:val="00EC7DCD"/>
    <w:rsid w:val="00ED09E4"/>
    <w:rsid w:val="00ED0A47"/>
    <w:rsid w:val="00ED0BF3"/>
    <w:rsid w:val="00ED0D71"/>
    <w:rsid w:val="00ED1012"/>
    <w:rsid w:val="00ED14FE"/>
    <w:rsid w:val="00ED15C1"/>
    <w:rsid w:val="00ED160D"/>
    <w:rsid w:val="00ED1A08"/>
    <w:rsid w:val="00ED1FB1"/>
    <w:rsid w:val="00ED2172"/>
    <w:rsid w:val="00ED22AD"/>
    <w:rsid w:val="00ED24B0"/>
    <w:rsid w:val="00ED28C0"/>
    <w:rsid w:val="00ED2BBF"/>
    <w:rsid w:val="00ED2E36"/>
    <w:rsid w:val="00ED2E61"/>
    <w:rsid w:val="00ED2FE1"/>
    <w:rsid w:val="00ED34C6"/>
    <w:rsid w:val="00ED3824"/>
    <w:rsid w:val="00ED39EE"/>
    <w:rsid w:val="00ED3A81"/>
    <w:rsid w:val="00ED3C62"/>
    <w:rsid w:val="00ED3D35"/>
    <w:rsid w:val="00ED3F57"/>
    <w:rsid w:val="00ED40A3"/>
    <w:rsid w:val="00ED427C"/>
    <w:rsid w:val="00ED44EA"/>
    <w:rsid w:val="00ED460D"/>
    <w:rsid w:val="00ED47E6"/>
    <w:rsid w:val="00ED487E"/>
    <w:rsid w:val="00ED496A"/>
    <w:rsid w:val="00ED4B13"/>
    <w:rsid w:val="00ED4BEE"/>
    <w:rsid w:val="00ED4F60"/>
    <w:rsid w:val="00ED538E"/>
    <w:rsid w:val="00ED5804"/>
    <w:rsid w:val="00ED5998"/>
    <w:rsid w:val="00ED5AFA"/>
    <w:rsid w:val="00ED5D26"/>
    <w:rsid w:val="00ED64CB"/>
    <w:rsid w:val="00ED65A7"/>
    <w:rsid w:val="00ED6941"/>
    <w:rsid w:val="00ED75E6"/>
    <w:rsid w:val="00ED7C7C"/>
    <w:rsid w:val="00EE0326"/>
    <w:rsid w:val="00EE0D01"/>
    <w:rsid w:val="00EE1184"/>
    <w:rsid w:val="00EE136D"/>
    <w:rsid w:val="00EE22FB"/>
    <w:rsid w:val="00EE2CC2"/>
    <w:rsid w:val="00EE2E8B"/>
    <w:rsid w:val="00EE3083"/>
    <w:rsid w:val="00EE32BF"/>
    <w:rsid w:val="00EE34D1"/>
    <w:rsid w:val="00EE36F6"/>
    <w:rsid w:val="00EE371E"/>
    <w:rsid w:val="00EE38CB"/>
    <w:rsid w:val="00EE392A"/>
    <w:rsid w:val="00EE39A6"/>
    <w:rsid w:val="00EE3CDD"/>
    <w:rsid w:val="00EE3DEB"/>
    <w:rsid w:val="00EE3E91"/>
    <w:rsid w:val="00EE3F28"/>
    <w:rsid w:val="00EE4000"/>
    <w:rsid w:val="00EE430D"/>
    <w:rsid w:val="00EE4787"/>
    <w:rsid w:val="00EE49A4"/>
    <w:rsid w:val="00EE4A4F"/>
    <w:rsid w:val="00EE4AB8"/>
    <w:rsid w:val="00EE4B20"/>
    <w:rsid w:val="00EE4EE6"/>
    <w:rsid w:val="00EE5499"/>
    <w:rsid w:val="00EE5697"/>
    <w:rsid w:val="00EE573B"/>
    <w:rsid w:val="00EE5761"/>
    <w:rsid w:val="00EE57A5"/>
    <w:rsid w:val="00EE5A2E"/>
    <w:rsid w:val="00EE5C61"/>
    <w:rsid w:val="00EE5E9A"/>
    <w:rsid w:val="00EE5F59"/>
    <w:rsid w:val="00EE6489"/>
    <w:rsid w:val="00EE64C2"/>
    <w:rsid w:val="00EE6945"/>
    <w:rsid w:val="00EE6990"/>
    <w:rsid w:val="00EE6FA7"/>
    <w:rsid w:val="00EE6FBB"/>
    <w:rsid w:val="00EE7080"/>
    <w:rsid w:val="00EE711A"/>
    <w:rsid w:val="00EE7886"/>
    <w:rsid w:val="00EE789C"/>
    <w:rsid w:val="00EE7991"/>
    <w:rsid w:val="00EF025D"/>
    <w:rsid w:val="00EF027D"/>
    <w:rsid w:val="00EF052B"/>
    <w:rsid w:val="00EF0909"/>
    <w:rsid w:val="00EF0A4D"/>
    <w:rsid w:val="00EF0C94"/>
    <w:rsid w:val="00EF0E2F"/>
    <w:rsid w:val="00EF0EB0"/>
    <w:rsid w:val="00EF13F5"/>
    <w:rsid w:val="00EF16DA"/>
    <w:rsid w:val="00EF17EC"/>
    <w:rsid w:val="00EF1A7A"/>
    <w:rsid w:val="00EF2353"/>
    <w:rsid w:val="00EF262A"/>
    <w:rsid w:val="00EF27A2"/>
    <w:rsid w:val="00EF286F"/>
    <w:rsid w:val="00EF297E"/>
    <w:rsid w:val="00EF2B27"/>
    <w:rsid w:val="00EF2C23"/>
    <w:rsid w:val="00EF2CA8"/>
    <w:rsid w:val="00EF2D0F"/>
    <w:rsid w:val="00EF32E0"/>
    <w:rsid w:val="00EF3A74"/>
    <w:rsid w:val="00EF3C20"/>
    <w:rsid w:val="00EF3E35"/>
    <w:rsid w:val="00EF461C"/>
    <w:rsid w:val="00EF4665"/>
    <w:rsid w:val="00EF4D7C"/>
    <w:rsid w:val="00EF5043"/>
    <w:rsid w:val="00EF51DE"/>
    <w:rsid w:val="00EF5269"/>
    <w:rsid w:val="00EF59AF"/>
    <w:rsid w:val="00EF5ABD"/>
    <w:rsid w:val="00EF5D37"/>
    <w:rsid w:val="00EF5D65"/>
    <w:rsid w:val="00EF6087"/>
    <w:rsid w:val="00EF6159"/>
    <w:rsid w:val="00EF61D8"/>
    <w:rsid w:val="00EF6278"/>
    <w:rsid w:val="00EF62E1"/>
    <w:rsid w:val="00EF6886"/>
    <w:rsid w:val="00EF6B13"/>
    <w:rsid w:val="00EF72B6"/>
    <w:rsid w:val="00EF76D9"/>
    <w:rsid w:val="00EF789C"/>
    <w:rsid w:val="00EF78A1"/>
    <w:rsid w:val="00EF798C"/>
    <w:rsid w:val="00EF7C23"/>
    <w:rsid w:val="00F00252"/>
    <w:rsid w:val="00F0052F"/>
    <w:rsid w:val="00F007FD"/>
    <w:rsid w:val="00F008AA"/>
    <w:rsid w:val="00F00DBE"/>
    <w:rsid w:val="00F00E1F"/>
    <w:rsid w:val="00F018F7"/>
    <w:rsid w:val="00F01BCE"/>
    <w:rsid w:val="00F0206F"/>
    <w:rsid w:val="00F0220F"/>
    <w:rsid w:val="00F024A4"/>
    <w:rsid w:val="00F025E3"/>
    <w:rsid w:val="00F027C4"/>
    <w:rsid w:val="00F02CBA"/>
    <w:rsid w:val="00F02FB1"/>
    <w:rsid w:val="00F03051"/>
    <w:rsid w:val="00F03142"/>
    <w:rsid w:val="00F03A2B"/>
    <w:rsid w:val="00F03C91"/>
    <w:rsid w:val="00F040C3"/>
    <w:rsid w:val="00F0413C"/>
    <w:rsid w:val="00F0421E"/>
    <w:rsid w:val="00F042A6"/>
    <w:rsid w:val="00F042A9"/>
    <w:rsid w:val="00F045AA"/>
    <w:rsid w:val="00F04687"/>
    <w:rsid w:val="00F04723"/>
    <w:rsid w:val="00F04A40"/>
    <w:rsid w:val="00F04D53"/>
    <w:rsid w:val="00F04F0E"/>
    <w:rsid w:val="00F05256"/>
    <w:rsid w:val="00F0583C"/>
    <w:rsid w:val="00F05C5A"/>
    <w:rsid w:val="00F05CA8"/>
    <w:rsid w:val="00F0600C"/>
    <w:rsid w:val="00F068AF"/>
    <w:rsid w:val="00F06A1D"/>
    <w:rsid w:val="00F06B6F"/>
    <w:rsid w:val="00F06BBD"/>
    <w:rsid w:val="00F06F61"/>
    <w:rsid w:val="00F07195"/>
    <w:rsid w:val="00F0731A"/>
    <w:rsid w:val="00F0756B"/>
    <w:rsid w:val="00F0782E"/>
    <w:rsid w:val="00F07AAE"/>
    <w:rsid w:val="00F07DB0"/>
    <w:rsid w:val="00F07FE6"/>
    <w:rsid w:val="00F10170"/>
    <w:rsid w:val="00F102E9"/>
    <w:rsid w:val="00F103C1"/>
    <w:rsid w:val="00F106F0"/>
    <w:rsid w:val="00F107AA"/>
    <w:rsid w:val="00F10B9C"/>
    <w:rsid w:val="00F10EF9"/>
    <w:rsid w:val="00F115E5"/>
    <w:rsid w:val="00F116C1"/>
    <w:rsid w:val="00F117FA"/>
    <w:rsid w:val="00F121C4"/>
    <w:rsid w:val="00F12257"/>
    <w:rsid w:val="00F1245B"/>
    <w:rsid w:val="00F125BC"/>
    <w:rsid w:val="00F12601"/>
    <w:rsid w:val="00F12621"/>
    <w:rsid w:val="00F12716"/>
    <w:rsid w:val="00F12818"/>
    <w:rsid w:val="00F1289C"/>
    <w:rsid w:val="00F12AAD"/>
    <w:rsid w:val="00F12FBC"/>
    <w:rsid w:val="00F13008"/>
    <w:rsid w:val="00F13CDC"/>
    <w:rsid w:val="00F13DBA"/>
    <w:rsid w:val="00F13EAF"/>
    <w:rsid w:val="00F14112"/>
    <w:rsid w:val="00F1417A"/>
    <w:rsid w:val="00F144F8"/>
    <w:rsid w:val="00F14CBA"/>
    <w:rsid w:val="00F15022"/>
    <w:rsid w:val="00F1532B"/>
    <w:rsid w:val="00F1567D"/>
    <w:rsid w:val="00F1590F"/>
    <w:rsid w:val="00F15B64"/>
    <w:rsid w:val="00F15C5B"/>
    <w:rsid w:val="00F160CB"/>
    <w:rsid w:val="00F1615E"/>
    <w:rsid w:val="00F162E2"/>
    <w:rsid w:val="00F1675E"/>
    <w:rsid w:val="00F167B6"/>
    <w:rsid w:val="00F16CCA"/>
    <w:rsid w:val="00F170C1"/>
    <w:rsid w:val="00F17546"/>
    <w:rsid w:val="00F17BB0"/>
    <w:rsid w:val="00F17D76"/>
    <w:rsid w:val="00F17DFB"/>
    <w:rsid w:val="00F20071"/>
    <w:rsid w:val="00F20D18"/>
    <w:rsid w:val="00F210AA"/>
    <w:rsid w:val="00F21331"/>
    <w:rsid w:val="00F21522"/>
    <w:rsid w:val="00F2169B"/>
    <w:rsid w:val="00F21F7A"/>
    <w:rsid w:val="00F2239A"/>
    <w:rsid w:val="00F225BF"/>
    <w:rsid w:val="00F2285C"/>
    <w:rsid w:val="00F22BA2"/>
    <w:rsid w:val="00F22BDE"/>
    <w:rsid w:val="00F22DBB"/>
    <w:rsid w:val="00F22DE4"/>
    <w:rsid w:val="00F22E40"/>
    <w:rsid w:val="00F2305C"/>
    <w:rsid w:val="00F233D4"/>
    <w:rsid w:val="00F23532"/>
    <w:rsid w:val="00F2371B"/>
    <w:rsid w:val="00F237FE"/>
    <w:rsid w:val="00F23A46"/>
    <w:rsid w:val="00F23BC4"/>
    <w:rsid w:val="00F24350"/>
    <w:rsid w:val="00F246A8"/>
    <w:rsid w:val="00F2479D"/>
    <w:rsid w:val="00F247FF"/>
    <w:rsid w:val="00F24973"/>
    <w:rsid w:val="00F24A81"/>
    <w:rsid w:val="00F24CB5"/>
    <w:rsid w:val="00F2509B"/>
    <w:rsid w:val="00F25126"/>
    <w:rsid w:val="00F25894"/>
    <w:rsid w:val="00F26084"/>
    <w:rsid w:val="00F2660A"/>
    <w:rsid w:val="00F26A1E"/>
    <w:rsid w:val="00F26A65"/>
    <w:rsid w:val="00F26C44"/>
    <w:rsid w:val="00F26C5D"/>
    <w:rsid w:val="00F26C62"/>
    <w:rsid w:val="00F26D65"/>
    <w:rsid w:val="00F27027"/>
    <w:rsid w:val="00F27041"/>
    <w:rsid w:val="00F27531"/>
    <w:rsid w:val="00F27E57"/>
    <w:rsid w:val="00F302FF"/>
    <w:rsid w:val="00F30455"/>
    <w:rsid w:val="00F30B44"/>
    <w:rsid w:val="00F30F46"/>
    <w:rsid w:val="00F30F5D"/>
    <w:rsid w:val="00F310EA"/>
    <w:rsid w:val="00F31670"/>
    <w:rsid w:val="00F31AD4"/>
    <w:rsid w:val="00F31C14"/>
    <w:rsid w:val="00F31DA6"/>
    <w:rsid w:val="00F31FD5"/>
    <w:rsid w:val="00F3239A"/>
    <w:rsid w:val="00F326F5"/>
    <w:rsid w:val="00F3284E"/>
    <w:rsid w:val="00F32A48"/>
    <w:rsid w:val="00F32B8C"/>
    <w:rsid w:val="00F33DC5"/>
    <w:rsid w:val="00F33F2C"/>
    <w:rsid w:val="00F341CC"/>
    <w:rsid w:val="00F34715"/>
    <w:rsid w:val="00F3485D"/>
    <w:rsid w:val="00F348FC"/>
    <w:rsid w:val="00F34AA4"/>
    <w:rsid w:val="00F34C14"/>
    <w:rsid w:val="00F34EB5"/>
    <w:rsid w:val="00F3510A"/>
    <w:rsid w:val="00F354AC"/>
    <w:rsid w:val="00F356B4"/>
    <w:rsid w:val="00F35A21"/>
    <w:rsid w:val="00F35BF3"/>
    <w:rsid w:val="00F35CBA"/>
    <w:rsid w:val="00F360F7"/>
    <w:rsid w:val="00F36442"/>
    <w:rsid w:val="00F367CE"/>
    <w:rsid w:val="00F36AC9"/>
    <w:rsid w:val="00F36FED"/>
    <w:rsid w:val="00F3715C"/>
    <w:rsid w:val="00F3732A"/>
    <w:rsid w:val="00F3738E"/>
    <w:rsid w:val="00F37FCF"/>
    <w:rsid w:val="00F409E4"/>
    <w:rsid w:val="00F412FC"/>
    <w:rsid w:val="00F41930"/>
    <w:rsid w:val="00F41952"/>
    <w:rsid w:val="00F41DB0"/>
    <w:rsid w:val="00F41DDA"/>
    <w:rsid w:val="00F41FC7"/>
    <w:rsid w:val="00F4240E"/>
    <w:rsid w:val="00F42443"/>
    <w:rsid w:val="00F429A4"/>
    <w:rsid w:val="00F434A1"/>
    <w:rsid w:val="00F43A73"/>
    <w:rsid w:val="00F43DFE"/>
    <w:rsid w:val="00F43F03"/>
    <w:rsid w:val="00F440DB"/>
    <w:rsid w:val="00F44329"/>
    <w:rsid w:val="00F4455E"/>
    <w:rsid w:val="00F44641"/>
    <w:rsid w:val="00F446C4"/>
    <w:rsid w:val="00F4484B"/>
    <w:rsid w:val="00F449FB"/>
    <w:rsid w:val="00F44B16"/>
    <w:rsid w:val="00F44D6A"/>
    <w:rsid w:val="00F450DB"/>
    <w:rsid w:val="00F455D1"/>
    <w:rsid w:val="00F457F1"/>
    <w:rsid w:val="00F459C9"/>
    <w:rsid w:val="00F45DB8"/>
    <w:rsid w:val="00F4645C"/>
    <w:rsid w:val="00F4657E"/>
    <w:rsid w:val="00F4657F"/>
    <w:rsid w:val="00F465D7"/>
    <w:rsid w:val="00F46675"/>
    <w:rsid w:val="00F46763"/>
    <w:rsid w:val="00F46E0D"/>
    <w:rsid w:val="00F46E2D"/>
    <w:rsid w:val="00F470E9"/>
    <w:rsid w:val="00F47244"/>
    <w:rsid w:val="00F4760C"/>
    <w:rsid w:val="00F476E7"/>
    <w:rsid w:val="00F47AD3"/>
    <w:rsid w:val="00F47B62"/>
    <w:rsid w:val="00F47C4C"/>
    <w:rsid w:val="00F47FE1"/>
    <w:rsid w:val="00F5023E"/>
    <w:rsid w:val="00F503AC"/>
    <w:rsid w:val="00F50633"/>
    <w:rsid w:val="00F5063D"/>
    <w:rsid w:val="00F50688"/>
    <w:rsid w:val="00F508ED"/>
    <w:rsid w:val="00F50C43"/>
    <w:rsid w:val="00F51191"/>
    <w:rsid w:val="00F5129B"/>
    <w:rsid w:val="00F5139B"/>
    <w:rsid w:val="00F518B5"/>
    <w:rsid w:val="00F51A20"/>
    <w:rsid w:val="00F51CB1"/>
    <w:rsid w:val="00F52132"/>
    <w:rsid w:val="00F523F1"/>
    <w:rsid w:val="00F52555"/>
    <w:rsid w:val="00F527B3"/>
    <w:rsid w:val="00F5284F"/>
    <w:rsid w:val="00F529A9"/>
    <w:rsid w:val="00F52EAF"/>
    <w:rsid w:val="00F531FD"/>
    <w:rsid w:val="00F5349F"/>
    <w:rsid w:val="00F5369A"/>
    <w:rsid w:val="00F5371A"/>
    <w:rsid w:val="00F5376B"/>
    <w:rsid w:val="00F53992"/>
    <w:rsid w:val="00F53DC0"/>
    <w:rsid w:val="00F53F51"/>
    <w:rsid w:val="00F53FCE"/>
    <w:rsid w:val="00F540C3"/>
    <w:rsid w:val="00F54493"/>
    <w:rsid w:val="00F546D6"/>
    <w:rsid w:val="00F54759"/>
    <w:rsid w:val="00F54D25"/>
    <w:rsid w:val="00F551E0"/>
    <w:rsid w:val="00F5539E"/>
    <w:rsid w:val="00F55568"/>
    <w:rsid w:val="00F55EB7"/>
    <w:rsid w:val="00F560AA"/>
    <w:rsid w:val="00F5623F"/>
    <w:rsid w:val="00F562F1"/>
    <w:rsid w:val="00F56F84"/>
    <w:rsid w:val="00F5701D"/>
    <w:rsid w:val="00F57047"/>
    <w:rsid w:val="00F571C1"/>
    <w:rsid w:val="00F5721E"/>
    <w:rsid w:val="00F57709"/>
    <w:rsid w:val="00F57B9B"/>
    <w:rsid w:val="00F57D9F"/>
    <w:rsid w:val="00F57DF6"/>
    <w:rsid w:val="00F601BF"/>
    <w:rsid w:val="00F602E6"/>
    <w:rsid w:val="00F60AB5"/>
    <w:rsid w:val="00F60B99"/>
    <w:rsid w:val="00F60DE5"/>
    <w:rsid w:val="00F60FE3"/>
    <w:rsid w:val="00F61075"/>
    <w:rsid w:val="00F61098"/>
    <w:rsid w:val="00F6117E"/>
    <w:rsid w:val="00F6142A"/>
    <w:rsid w:val="00F6184E"/>
    <w:rsid w:val="00F61B57"/>
    <w:rsid w:val="00F61CEF"/>
    <w:rsid w:val="00F61D7E"/>
    <w:rsid w:val="00F62789"/>
    <w:rsid w:val="00F62A22"/>
    <w:rsid w:val="00F62CF5"/>
    <w:rsid w:val="00F63063"/>
    <w:rsid w:val="00F63316"/>
    <w:rsid w:val="00F6374E"/>
    <w:rsid w:val="00F63D83"/>
    <w:rsid w:val="00F640AB"/>
    <w:rsid w:val="00F643A7"/>
    <w:rsid w:val="00F649B0"/>
    <w:rsid w:val="00F64C8E"/>
    <w:rsid w:val="00F65072"/>
    <w:rsid w:val="00F65119"/>
    <w:rsid w:val="00F6523A"/>
    <w:rsid w:val="00F65400"/>
    <w:rsid w:val="00F658F6"/>
    <w:rsid w:val="00F65948"/>
    <w:rsid w:val="00F659AF"/>
    <w:rsid w:val="00F65D97"/>
    <w:rsid w:val="00F66111"/>
    <w:rsid w:val="00F6617D"/>
    <w:rsid w:val="00F6661E"/>
    <w:rsid w:val="00F66DE1"/>
    <w:rsid w:val="00F67114"/>
    <w:rsid w:val="00F67DA0"/>
    <w:rsid w:val="00F70412"/>
    <w:rsid w:val="00F705EA"/>
    <w:rsid w:val="00F70645"/>
    <w:rsid w:val="00F706F4"/>
    <w:rsid w:val="00F70823"/>
    <w:rsid w:val="00F70E6C"/>
    <w:rsid w:val="00F71550"/>
    <w:rsid w:val="00F7183C"/>
    <w:rsid w:val="00F7196E"/>
    <w:rsid w:val="00F72180"/>
    <w:rsid w:val="00F721D3"/>
    <w:rsid w:val="00F7275A"/>
    <w:rsid w:val="00F72AAD"/>
    <w:rsid w:val="00F72AB4"/>
    <w:rsid w:val="00F72DD9"/>
    <w:rsid w:val="00F73016"/>
    <w:rsid w:val="00F73634"/>
    <w:rsid w:val="00F73A47"/>
    <w:rsid w:val="00F73EA3"/>
    <w:rsid w:val="00F741A8"/>
    <w:rsid w:val="00F742C2"/>
    <w:rsid w:val="00F7436F"/>
    <w:rsid w:val="00F743AD"/>
    <w:rsid w:val="00F7475D"/>
    <w:rsid w:val="00F74811"/>
    <w:rsid w:val="00F74F57"/>
    <w:rsid w:val="00F7515B"/>
    <w:rsid w:val="00F755CD"/>
    <w:rsid w:val="00F755DC"/>
    <w:rsid w:val="00F75664"/>
    <w:rsid w:val="00F75762"/>
    <w:rsid w:val="00F758E5"/>
    <w:rsid w:val="00F75958"/>
    <w:rsid w:val="00F76020"/>
    <w:rsid w:val="00F763ED"/>
    <w:rsid w:val="00F7645E"/>
    <w:rsid w:val="00F765B1"/>
    <w:rsid w:val="00F766AD"/>
    <w:rsid w:val="00F76D46"/>
    <w:rsid w:val="00F76ED6"/>
    <w:rsid w:val="00F77244"/>
    <w:rsid w:val="00F7743D"/>
    <w:rsid w:val="00F775A1"/>
    <w:rsid w:val="00F77C7B"/>
    <w:rsid w:val="00F77CF7"/>
    <w:rsid w:val="00F80115"/>
    <w:rsid w:val="00F801BC"/>
    <w:rsid w:val="00F80590"/>
    <w:rsid w:val="00F80C23"/>
    <w:rsid w:val="00F8103B"/>
    <w:rsid w:val="00F81399"/>
    <w:rsid w:val="00F8174A"/>
    <w:rsid w:val="00F81B02"/>
    <w:rsid w:val="00F81ECD"/>
    <w:rsid w:val="00F82050"/>
    <w:rsid w:val="00F82154"/>
    <w:rsid w:val="00F825E4"/>
    <w:rsid w:val="00F829CA"/>
    <w:rsid w:val="00F82A40"/>
    <w:rsid w:val="00F82A92"/>
    <w:rsid w:val="00F82C9F"/>
    <w:rsid w:val="00F82D93"/>
    <w:rsid w:val="00F831AE"/>
    <w:rsid w:val="00F831B1"/>
    <w:rsid w:val="00F83898"/>
    <w:rsid w:val="00F83ACD"/>
    <w:rsid w:val="00F83D22"/>
    <w:rsid w:val="00F842D3"/>
    <w:rsid w:val="00F8440C"/>
    <w:rsid w:val="00F846B3"/>
    <w:rsid w:val="00F848E0"/>
    <w:rsid w:val="00F84993"/>
    <w:rsid w:val="00F84AA5"/>
    <w:rsid w:val="00F84CD9"/>
    <w:rsid w:val="00F84CFE"/>
    <w:rsid w:val="00F84E2F"/>
    <w:rsid w:val="00F84FC2"/>
    <w:rsid w:val="00F85045"/>
    <w:rsid w:val="00F8525C"/>
    <w:rsid w:val="00F852EB"/>
    <w:rsid w:val="00F85364"/>
    <w:rsid w:val="00F85402"/>
    <w:rsid w:val="00F8584B"/>
    <w:rsid w:val="00F85884"/>
    <w:rsid w:val="00F85E0E"/>
    <w:rsid w:val="00F8617B"/>
    <w:rsid w:val="00F8648D"/>
    <w:rsid w:val="00F86828"/>
    <w:rsid w:val="00F868C5"/>
    <w:rsid w:val="00F86971"/>
    <w:rsid w:val="00F873E5"/>
    <w:rsid w:val="00F87733"/>
    <w:rsid w:val="00F900B5"/>
    <w:rsid w:val="00F901CF"/>
    <w:rsid w:val="00F901D7"/>
    <w:rsid w:val="00F90902"/>
    <w:rsid w:val="00F91170"/>
    <w:rsid w:val="00F9125A"/>
    <w:rsid w:val="00F912FC"/>
    <w:rsid w:val="00F91CCA"/>
    <w:rsid w:val="00F91CD2"/>
    <w:rsid w:val="00F9229F"/>
    <w:rsid w:val="00F9258D"/>
    <w:rsid w:val="00F92D25"/>
    <w:rsid w:val="00F92EF7"/>
    <w:rsid w:val="00F92F77"/>
    <w:rsid w:val="00F93182"/>
    <w:rsid w:val="00F934F7"/>
    <w:rsid w:val="00F935AF"/>
    <w:rsid w:val="00F93FDD"/>
    <w:rsid w:val="00F94031"/>
    <w:rsid w:val="00F940D2"/>
    <w:rsid w:val="00F94969"/>
    <w:rsid w:val="00F949BF"/>
    <w:rsid w:val="00F94BD5"/>
    <w:rsid w:val="00F94D3D"/>
    <w:rsid w:val="00F94E3C"/>
    <w:rsid w:val="00F952C9"/>
    <w:rsid w:val="00F95438"/>
    <w:rsid w:val="00F955CE"/>
    <w:rsid w:val="00F95FE2"/>
    <w:rsid w:val="00F9612A"/>
    <w:rsid w:val="00F96217"/>
    <w:rsid w:val="00F9642A"/>
    <w:rsid w:val="00F97197"/>
    <w:rsid w:val="00F974DF"/>
    <w:rsid w:val="00F97BA5"/>
    <w:rsid w:val="00F97C08"/>
    <w:rsid w:val="00F97F89"/>
    <w:rsid w:val="00FA02AC"/>
    <w:rsid w:val="00FA0640"/>
    <w:rsid w:val="00FA08D6"/>
    <w:rsid w:val="00FA08E4"/>
    <w:rsid w:val="00FA0AFD"/>
    <w:rsid w:val="00FA1045"/>
    <w:rsid w:val="00FA12B6"/>
    <w:rsid w:val="00FA1459"/>
    <w:rsid w:val="00FA16CC"/>
    <w:rsid w:val="00FA19F7"/>
    <w:rsid w:val="00FA1AE8"/>
    <w:rsid w:val="00FA1EDA"/>
    <w:rsid w:val="00FA2323"/>
    <w:rsid w:val="00FA2626"/>
    <w:rsid w:val="00FA2627"/>
    <w:rsid w:val="00FA2681"/>
    <w:rsid w:val="00FA27AC"/>
    <w:rsid w:val="00FA29B9"/>
    <w:rsid w:val="00FA2A41"/>
    <w:rsid w:val="00FA2B4B"/>
    <w:rsid w:val="00FA2E18"/>
    <w:rsid w:val="00FA2F35"/>
    <w:rsid w:val="00FA317A"/>
    <w:rsid w:val="00FA3908"/>
    <w:rsid w:val="00FA3A63"/>
    <w:rsid w:val="00FA3A72"/>
    <w:rsid w:val="00FA3CE3"/>
    <w:rsid w:val="00FA3F23"/>
    <w:rsid w:val="00FA48DA"/>
    <w:rsid w:val="00FA4BD6"/>
    <w:rsid w:val="00FA5068"/>
    <w:rsid w:val="00FA5421"/>
    <w:rsid w:val="00FA5700"/>
    <w:rsid w:val="00FA5932"/>
    <w:rsid w:val="00FA5C15"/>
    <w:rsid w:val="00FA5EE8"/>
    <w:rsid w:val="00FA6490"/>
    <w:rsid w:val="00FA6CB3"/>
    <w:rsid w:val="00FA739C"/>
    <w:rsid w:val="00FA79F7"/>
    <w:rsid w:val="00FA7B48"/>
    <w:rsid w:val="00FB00A6"/>
    <w:rsid w:val="00FB01C5"/>
    <w:rsid w:val="00FB10BD"/>
    <w:rsid w:val="00FB11A5"/>
    <w:rsid w:val="00FB132B"/>
    <w:rsid w:val="00FB1BE7"/>
    <w:rsid w:val="00FB1FBD"/>
    <w:rsid w:val="00FB20AE"/>
    <w:rsid w:val="00FB23C2"/>
    <w:rsid w:val="00FB24B6"/>
    <w:rsid w:val="00FB2512"/>
    <w:rsid w:val="00FB25B6"/>
    <w:rsid w:val="00FB2614"/>
    <w:rsid w:val="00FB2866"/>
    <w:rsid w:val="00FB2ACC"/>
    <w:rsid w:val="00FB3682"/>
    <w:rsid w:val="00FB37A7"/>
    <w:rsid w:val="00FB3B5F"/>
    <w:rsid w:val="00FB3BA4"/>
    <w:rsid w:val="00FB3D72"/>
    <w:rsid w:val="00FB416D"/>
    <w:rsid w:val="00FB4692"/>
    <w:rsid w:val="00FB49BB"/>
    <w:rsid w:val="00FB4D7E"/>
    <w:rsid w:val="00FB521E"/>
    <w:rsid w:val="00FB5247"/>
    <w:rsid w:val="00FB563C"/>
    <w:rsid w:val="00FB5CF8"/>
    <w:rsid w:val="00FB6425"/>
    <w:rsid w:val="00FB6CCD"/>
    <w:rsid w:val="00FB6E48"/>
    <w:rsid w:val="00FB6F25"/>
    <w:rsid w:val="00FB746D"/>
    <w:rsid w:val="00FB777D"/>
    <w:rsid w:val="00FB7B05"/>
    <w:rsid w:val="00FB7F41"/>
    <w:rsid w:val="00FB7F76"/>
    <w:rsid w:val="00FC0157"/>
    <w:rsid w:val="00FC0396"/>
    <w:rsid w:val="00FC055B"/>
    <w:rsid w:val="00FC06B9"/>
    <w:rsid w:val="00FC07AC"/>
    <w:rsid w:val="00FC0A24"/>
    <w:rsid w:val="00FC109F"/>
    <w:rsid w:val="00FC14CD"/>
    <w:rsid w:val="00FC17F6"/>
    <w:rsid w:val="00FC1959"/>
    <w:rsid w:val="00FC1CB0"/>
    <w:rsid w:val="00FC1DE2"/>
    <w:rsid w:val="00FC1E1A"/>
    <w:rsid w:val="00FC23F8"/>
    <w:rsid w:val="00FC2635"/>
    <w:rsid w:val="00FC2B8B"/>
    <w:rsid w:val="00FC2C55"/>
    <w:rsid w:val="00FC2D90"/>
    <w:rsid w:val="00FC2FEE"/>
    <w:rsid w:val="00FC3188"/>
    <w:rsid w:val="00FC34B6"/>
    <w:rsid w:val="00FC36AC"/>
    <w:rsid w:val="00FC421C"/>
    <w:rsid w:val="00FC434E"/>
    <w:rsid w:val="00FC4382"/>
    <w:rsid w:val="00FC46ED"/>
    <w:rsid w:val="00FC4790"/>
    <w:rsid w:val="00FC490B"/>
    <w:rsid w:val="00FC4E7A"/>
    <w:rsid w:val="00FC524E"/>
    <w:rsid w:val="00FC5524"/>
    <w:rsid w:val="00FC595C"/>
    <w:rsid w:val="00FC5B1C"/>
    <w:rsid w:val="00FC5F3C"/>
    <w:rsid w:val="00FC5F83"/>
    <w:rsid w:val="00FC617D"/>
    <w:rsid w:val="00FC630A"/>
    <w:rsid w:val="00FC670C"/>
    <w:rsid w:val="00FC6B6B"/>
    <w:rsid w:val="00FC6D2C"/>
    <w:rsid w:val="00FC6F07"/>
    <w:rsid w:val="00FC739F"/>
    <w:rsid w:val="00FC7A03"/>
    <w:rsid w:val="00FC7AE3"/>
    <w:rsid w:val="00FC7D5D"/>
    <w:rsid w:val="00FC7E54"/>
    <w:rsid w:val="00FD0496"/>
    <w:rsid w:val="00FD0843"/>
    <w:rsid w:val="00FD08CF"/>
    <w:rsid w:val="00FD0B22"/>
    <w:rsid w:val="00FD10D5"/>
    <w:rsid w:val="00FD1727"/>
    <w:rsid w:val="00FD2054"/>
    <w:rsid w:val="00FD228C"/>
    <w:rsid w:val="00FD241E"/>
    <w:rsid w:val="00FD2517"/>
    <w:rsid w:val="00FD2817"/>
    <w:rsid w:val="00FD28E1"/>
    <w:rsid w:val="00FD29D4"/>
    <w:rsid w:val="00FD2B00"/>
    <w:rsid w:val="00FD3199"/>
    <w:rsid w:val="00FD34C3"/>
    <w:rsid w:val="00FD3904"/>
    <w:rsid w:val="00FD4038"/>
    <w:rsid w:val="00FD4086"/>
    <w:rsid w:val="00FD4190"/>
    <w:rsid w:val="00FD424A"/>
    <w:rsid w:val="00FD4443"/>
    <w:rsid w:val="00FD448C"/>
    <w:rsid w:val="00FD4732"/>
    <w:rsid w:val="00FD49F7"/>
    <w:rsid w:val="00FD4D6B"/>
    <w:rsid w:val="00FD5288"/>
    <w:rsid w:val="00FD5B54"/>
    <w:rsid w:val="00FD5EBB"/>
    <w:rsid w:val="00FD63D7"/>
    <w:rsid w:val="00FD6521"/>
    <w:rsid w:val="00FD6DF3"/>
    <w:rsid w:val="00FD6F45"/>
    <w:rsid w:val="00FD7344"/>
    <w:rsid w:val="00FD7776"/>
    <w:rsid w:val="00FD79F0"/>
    <w:rsid w:val="00FD7ACD"/>
    <w:rsid w:val="00FD7D80"/>
    <w:rsid w:val="00FE0071"/>
    <w:rsid w:val="00FE09A0"/>
    <w:rsid w:val="00FE1019"/>
    <w:rsid w:val="00FE1143"/>
    <w:rsid w:val="00FE1533"/>
    <w:rsid w:val="00FE1B9E"/>
    <w:rsid w:val="00FE21CB"/>
    <w:rsid w:val="00FE2324"/>
    <w:rsid w:val="00FE2582"/>
    <w:rsid w:val="00FE25A7"/>
    <w:rsid w:val="00FE32ED"/>
    <w:rsid w:val="00FE34B9"/>
    <w:rsid w:val="00FE3786"/>
    <w:rsid w:val="00FE3818"/>
    <w:rsid w:val="00FE3ADA"/>
    <w:rsid w:val="00FE4502"/>
    <w:rsid w:val="00FE4518"/>
    <w:rsid w:val="00FE4A86"/>
    <w:rsid w:val="00FE4AA6"/>
    <w:rsid w:val="00FE510C"/>
    <w:rsid w:val="00FE538D"/>
    <w:rsid w:val="00FE5445"/>
    <w:rsid w:val="00FE54A1"/>
    <w:rsid w:val="00FE56D0"/>
    <w:rsid w:val="00FE5983"/>
    <w:rsid w:val="00FE59E6"/>
    <w:rsid w:val="00FE5BE5"/>
    <w:rsid w:val="00FE5F2A"/>
    <w:rsid w:val="00FE66D2"/>
    <w:rsid w:val="00FE67CC"/>
    <w:rsid w:val="00FE6B4A"/>
    <w:rsid w:val="00FE6C75"/>
    <w:rsid w:val="00FE72E4"/>
    <w:rsid w:val="00FE740A"/>
    <w:rsid w:val="00FE7A64"/>
    <w:rsid w:val="00FF00E6"/>
    <w:rsid w:val="00FF0423"/>
    <w:rsid w:val="00FF048E"/>
    <w:rsid w:val="00FF0E36"/>
    <w:rsid w:val="00FF1433"/>
    <w:rsid w:val="00FF1A94"/>
    <w:rsid w:val="00FF1B4D"/>
    <w:rsid w:val="00FF1B64"/>
    <w:rsid w:val="00FF1BAA"/>
    <w:rsid w:val="00FF1FB3"/>
    <w:rsid w:val="00FF2074"/>
    <w:rsid w:val="00FF21AE"/>
    <w:rsid w:val="00FF224E"/>
    <w:rsid w:val="00FF230B"/>
    <w:rsid w:val="00FF255F"/>
    <w:rsid w:val="00FF2681"/>
    <w:rsid w:val="00FF275E"/>
    <w:rsid w:val="00FF2943"/>
    <w:rsid w:val="00FF2FEE"/>
    <w:rsid w:val="00FF313C"/>
    <w:rsid w:val="00FF3499"/>
    <w:rsid w:val="00FF35E7"/>
    <w:rsid w:val="00FF384E"/>
    <w:rsid w:val="00FF388E"/>
    <w:rsid w:val="00FF3AAA"/>
    <w:rsid w:val="00FF3D6F"/>
    <w:rsid w:val="00FF42F1"/>
    <w:rsid w:val="00FF44F2"/>
    <w:rsid w:val="00FF4534"/>
    <w:rsid w:val="00FF49AF"/>
    <w:rsid w:val="00FF4C87"/>
    <w:rsid w:val="00FF4FA1"/>
    <w:rsid w:val="00FF5171"/>
    <w:rsid w:val="00FF536D"/>
    <w:rsid w:val="00FF5564"/>
    <w:rsid w:val="00FF55F3"/>
    <w:rsid w:val="00FF578F"/>
    <w:rsid w:val="00FF588D"/>
    <w:rsid w:val="00FF60E2"/>
    <w:rsid w:val="00FF638B"/>
    <w:rsid w:val="00FF6587"/>
    <w:rsid w:val="00FF692B"/>
    <w:rsid w:val="00FF69F8"/>
    <w:rsid w:val="00FF6A6A"/>
    <w:rsid w:val="00FF6DC4"/>
    <w:rsid w:val="00FF70C1"/>
    <w:rsid w:val="00FF714D"/>
    <w:rsid w:val="00FF7384"/>
    <w:rsid w:val="00FF7855"/>
    <w:rsid w:val="00FF7E42"/>
    <w:rsid w:val="00FF7F1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969" strokecolor="#31527b">
      <v:stroke endarrow="open" color="#31527b" weight="1.5pt"/>
      <o:colormru v:ext="edit" colors="#995979"/>
    </o:shapedefaults>
    <o:shapelayout v:ext="edit">
      <o:idmap v:ext="edit" data="1"/>
    </o:shapelayout>
  </w:shapeDefaults>
  <w:decimalSymbol w:val=","/>
  <w:listSeparator w:val=";"/>
  <w14:docId w14:val="6E56BB6A"/>
  <w15:chartTrackingRefBased/>
  <w15:docId w15:val="{A24B6B24-8774-4512-9765-269AA2931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cs-CZ" w:eastAsia="cs-CZ"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uiPriority="9"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toc 1" w:uiPriority="39"/>
    <w:lsdException w:name="toc 2" w:uiPriority="39"/>
    <w:lsdException w:name="toc 3" w:locked="0" w:semiHidden="1" w:uiPriority="39"/>
    <w:lsdException w:name="toc 4" w:locked="0" w:semiHidden="1"/>
    <w:lsdException w:name="toc 5" w:locked="0" w:semiHidden="1"/>
    <w:lsdException w:name="toc 6" w:locked="0" w:semiHidden="1"/>
    <w:lsdException w:name="toc 7" w:locked="0" w:semiHidden="1"/>
    <w:lsdException w:name="toc 8" w:locked="0" w:semiHidden="1"/>
    <w:lsdException w:name="toc 9" w:locked="0" w:semiHidden="1"/>
    <w:lsdException w:name="Normal Indent" w:locked="0" w:semiHidden="1"/>
    <w:lsdException w:name="footnote text" w:locked="0" w:qFormat="1"/>
    <w:lsdException w:name="annotation text" w:locked="0" w:uiPriority="99"/>
    <w:lsdException w:name="caption" w:locked="0" w:qFormat="1"/>
    <w:lsdException w:name="table of figures" w:locked="0" w:uiPriority="99"/>
    <w:lsdException w:name="footnote reference" w:locked="0" w:uiPriority="99"/>
    <w:lsdException w:name="annotation reference" w:locked="0" w:uiPriority="99"/>
    <w:lsdException w:name="Title" w:locked="0"/>
    <w:lsdException w:name="Signature" w:locked="0" w:semiHidden="1"/>
    <w:lsdException w:name="Default Paragraph Font" w:locked="0" w:uiPriority="1"/>
    <w:lsdException w:name="List Continue" w:semiHidden="1"/>
    <w:lsdException w:name="List Continue 2" w:semiHidden="1"/>
    <w:lsdException w:name="List Continue 3" w:semiHidden="1"/>
    <w:lsdException w:name="List Continue 4" w:semiHidden="1"/>
    <w:lsdException w:name="List Continue 5" w:semiHidden="1"/>
    <w:lsdException w:name="Salutation" w:semiHidden="1"/>
    <w:lsdException w:name="Hyperlink" w:uiPriority="99"/>
    <w:lsdException w:name="Strong" w:qFormat="1"/>
    <w:lsdException w:name="Document Map" w:locked="0"/>
    <w:lsdException w:name="Plain Text" w:semiHidden="1"/>
    <w:lsdException w:name="E-mail Signature" w:locked="0" w:semiHidden="1"/>
    <w:lsdException w:name="HTML Top of Form" w:locked="0"/>
    <w:lsdException w:name="HTML Bottom of Form" w:locked="0"/>
    <w:lsdException w:name="Normal (Web)" w:locked="0" w:semiHidden="1" w:uiPriority="99"/>
    <w:lsdException w:name="HTML Keyboard" w:semiHidden="1" w:unhideWhenUsed="1"/>
    <w:lsdException w:name="HTML Typewriter" w:semiHidden="1"/>
    <w:lsdException w:name="HTML Variable" w:semiHidden="1"/>
    <w:lsdException w:name="Normal Table" w:locked="0" w:semiHidden="1" w:unhideWhenUsed="1"/>
    <w:lsdException w:name="annotation subject" w:locked="0" w:semiHidden="1" w:unhideWhenUsed="1"/>
    <w:lsdException w:name="No List" w:locked="0" w:semiHidden="1" w:uiPriority="99" w:unhideWhenUsed="1"/>
    <w:lsdException w:name="Outline List 1" w:locked="0"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59"/>
    <w:lsdException w:name="Table Theme" w:semiHidden="1" w:unhideWhenUsed="1"/>
    <w:lsdException w:name="Placeholder Text" w:locked="0"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locked="0" w:semiHidden="1" w:uiPriority="37" w:unhideWhenUsed="1"/>
    <w:lsdException w:name="TOC Heading" w:locked="0"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ln">
    <w:name w:val="Normal"/>
    <w:hidden/>
    <w:qFormat/>
    <w:rsid w:val="007725C2"/>
    <w:pPr>
      <w:spacing w:after="120"/>
      <w:jc w:val="both"/>
    </w:pPr>
  </w:style>
  <w:style w:type="paragraph" w:styleId="Nadpis1">
    <w:name w:val="heading 1"/>
    <w:basedOn w:val="Normln"/>
    <w:next w:val="Normln"/>
    <w:uiPriority w:val="9"/>
    <w:qFormat/>
    <w:rsid w:val="0087101F"/>
    <w:pPr>
      <w:keepNext/>
      <w:pageBreakBefore/>
      <w:numPr>
        <w:numId w:val="1"/>
      </w:numPr>
      <w:outlineLvl w:val="0"/>
    </w:pPr>
    <w:rPr>
      <w:rFonts w:cs="Arial"/>
      <w:b/>
      <w:bCs/>
      <w:kern w:val="32"/>
      <w:sz w:val="40"/>
      <w:szCs w:val="32"/>
    </w:rPr>
  </w:style>
  <w:style w:type="paragraph" w:styleId="Nadpis2">
    <w:name w:val="heading 2"/>
    <w:basedOn w:val="Normln"/>
    <w:next w:val="Normln"/>
    <w:link w:val="Nadpis2Char"/>
    <w:uiPriority w:val="9"/>
    <w:qFormat/>
    <w:rsid w:val="000D1C42"/>
    <w:pPr>
      <w:keepNext/>
      <w:numPr>
        <w:ilvl w:val="1"/>
        <w:numId w:val="1"/>
      </w:numPr>
      <w:pBdr>
        <w:bottom w:val="single" w:sz="12" w:space="1" w:color="E5DFEC"/>
      </w:pBdr>
      <w:spacing w:before="480" w:after="60"/>
      <w:ind w:left="851"/>
      <w:outlineLvl w:val="1"/>
    </w:pPr>
    <w:rPr>
      <w:rFonts w:cs="Arial"/>
      <w:b/>
      <w:bCs/>
      <w:iCs/>
      <w:sz w:val="28"/>
      <w:szCs w:val="28"/>
    </w:rPr>
  </w:style>
  <w:style w:type="paragraph" w:styleId="Nadpis3">
    <w:name w:val="heading 3"/>
    <w:basedOn w:val="Normln"/>
    <w:next w:val="Normln"/>
    <w:uiPriority w:val="9"/>
    <w:qFormat/>
    <w:rsid w:val="00414548"/>
    <w:pPr>
      <w:keepNext/>
      <w:numPr>
        <w:ilvl w:val="2"/>
        <w:numId w:val="1"/>
      </w:numPr>
      <w:spacing w:before="240" w:after="0"/>
      <w:ind w:left="720"/>
      <w:jc w:val="left"/>
      <w:outlineLvl w:val="2"/>
    </w:pPr>
    <w:rPr>
      <w:rFonts w:cs="Arial"/>
      <w:b/>
      <w:bCs/>
      <w:sz w:val="24"/>
      <w:szCs w:val="26"/>
    </w:rPr>
  </w:style>
  <w:style w:type="paragraph" w:styleId="Nadpis4">
    <w:name w:val="heading 4"/>
    <w:basedOn w:val="Nadpis3"/>
    <w:next w:val="Normln"/>
    <w:qFormat/>
    <w:rsid w:val="00C3222C"/>
    <w:pPr>
      <w:numPr>
        <w:ilvl w:val="0"/>
        <w:numId w:val="0"/>
      </w:numPr>
      <w:tabs>
        <w:tab w:val="num" w:pos="864"/>
      </w:tabs>
      <w:spacing w:before="120"/>
      <w:outlineLvl w:val="3"/>
    </w:pPr>
    <w:rPr>
      <w:bCs w:val="0"/>
      <w:szCs w:val="28"/>
    </w:rPr>
  </w:style>
  <w:style w:type="paragraph" w:styleId="Nadpis5">
    <w:name w:val="heading 5"/>
    <w:basedOn w:val="Normln"/>
    <w:next w:val="Normln"/>
    <w:qFormat/>
    <w:rsid w:val="00D1643C"/>
    <w:pPr>
      <w:keepNext/>
      <w:tabs>
        <w:tab w:val="num" w:pos="1008"/>
      </w:tabs>
      <w:spacing w:before="480" w:after="480"/>
      <w:ind w:left="1009" w:hanging="1009"/>
      <w:outlineLvl w:val="4"/>
    </w:pPr>
    <w:rPr>
      <w:rFonts w:ascii="Arial" w:hAnsi="Arial"/>
      <w:b/>
      <w:bCs/>
    </w:rPr>
  </w:style>
  <w:style w:type="paragraph" w:styleId="Nadpis6">
    <w:name w:val="heading 6"/>
    <w:basedOn w:val="Nadpis1"/>
    <w:next w:val="Normln"/>
    <w:qFormat/>
    <w:rsid w:val="00EB1B67"/>
    <w:pPr>
      <w:keepLines/>
      <w:numPr>
        <w:numId w:val="0"/>
      </w:numPr>
      <w:tabs>
        <w:tab w:val="num" w:pos="1152"/>
      </w:tabs>
      <w:outlineLvl w:val="5"/>
    </w:pPr>
    <w:rPr>
      <w:b w:val="0"/>
      <w:bCs w:val="0"/>
      <w:szCs w:val="22"/>
    </w:rPr>
  </w:style>
  <w:style w:type="paragraph" w:styleId="Nadpis7">
    <w:name w:val="heading 7"/>
    <w:basedOn w:val="Normln"/>
    <w:next w:val="Normln"/>
    <w:qFormat/>
    <w:rsid w:val="00D1643C"/>
    <w:pPr>
      <w:tabs>
        <w:tab w:val="num" w:pos="1296"/>
      </w:tabs>
      <w:spacing w:before="240" w:after="60"/>
      <w:ind w:left="1296" w:hanging="1296"/>
      <w:outlineLvl w:val="6"/>
    </w:pPr>
    <w:rPr>
      <w:rFonts w:ascii="Times New Roman" w:hAnsi="Times New Roman"/>
      <w:sz w:val="24"/>
    </w:rPr>
  </w:style>
  <w:style w:type="paragraph" w:styleId="Nadpis8">
    <w:name w:val="heading 8"/>
    <w:basedOn w:val="Normln"/>
    <w:next w:val="Normln"/>
    <w:qFormat/>
    <w:rsid w:val="00D1643C"/>
    <w:pPr>
      <w:tabs>
        <w:tab w:val="num" w:pos="1440"/>
      </w:tabs>
      <w:spacing w:before="240" w:after="60"/>
      <w:ind w:left="1440" w:hanging="1440"/>
      <w:outlineLvl w:val="7"/>
    </w:pPr>
    <w:rPr>
      <w:rFonts w:ascii="Times New Roman" w:hAnsi="Times New Roman"/>
      <w:i/>
      <w:iCs/>
      <w:sz w:val="24"/>
    </w:rPr>
  </w:style>
  <w:style w:type="paragraph" w:styleId="Nadpis9">
    <w:name w:val="heading 9"/>
    <w:basedOn w:val="Normln"/>
    <w:next w:val="Normln"/>
    <w:qFormat/>
    <w:rsid w:val="00D1643C"/>
    <w:pPr>
      <w:keepNext/>
      <w:tabs>
        <w:tab w:val="num" w:pos="1584"/>
      </w:tabs>
      <w:ind w:left="1584" w:hanging="1584"/>
      <w:jc w:val="center"/>
      <w:outlineLvl w:val="8"/>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locked/>
    <w:rsid w:val="00175F17"/>
    <w:pPr>
      <w:tabs>
        <w:tab w:val="center" w:pos="4536"/>
        <w:tab w:val="right" w:pos="9072"/>
      </w:tabs>
    </w:pPr>
  </w:style>
  <w:style w:type="paragraph" w:styleId="Zpat">
    <w:name w:val="footer"/>
    <w:basedOn w:val="Normln"/>
    <w:link w:val="ZpatChar"/>
    <w:locked/>
    <w:rsid w:val="00AB21B0"/>
    <w:pPr>
      <w:tabs>
        <w:tab w:val="center" w:pos="4536"/>
        <w:tab w:val="right" w:pos="9072"/>
      </w:tabs>
      <w:jc w:val="right"/>
    </w:pPr>
  </w:style>
  <w:style w:type="character" w:styleId="slostrnky">
    <w:name w:val="page number"/>
    <w:locked/>
    <w:rsid w:val="00175F17"/>
    <w:rPr>
      <w:rFonts w:ascii="Calibri" w:hAnsi="Calibri"/>
      <w:sz w:val="16"/>
    </w:rPr>
  </w:style>
  <w:style w:type="character" w:styleId="Hypertextovodkaz">
    <w:name w:val="Hyperlink"/>
    <w:uiPriority w:val="99"/>
    <w:locked/>
    <w:rsid w:val="007C5685"/>
    <w:rPr>
      <w:color w:val="0000FF"/>
      <w:u w:val="single"/>
    </w:rPr>
  </w:style>
  <w:style w:type="paragraph" w:styleId="Obsah1">
    <w:name w:val="toc 1"/>
    <w:basedOn w:val="Normln"/>
    <w:next w:val="Normln"/>
    <w:autoRedefine/>
    <w:uiPriority w:val="39"/>
    <w:locked/>
    <w:rsid w:val="001B697D"/>
    <w:pPr>
      <w:tabs>
        <w:tab w:val="left" w:pos="284"/>
        <w:tab w:val="right" w:leader="dot" w:pos="9628"/>
      </w:tabs>
      <w:spacing w:before="120" w:after="60"/>
    </w:pPr>
    <w:rPr>
      <w:b/>
      <w:noProof/>
    </w:rPr>
  </w:style>
  <w:style w:type="paragraph" w:styleId="Obsah2">
    <w:name w:val="toc 2"/>
    <w:basedOn w:val="Normln"/>
    <w:next w:val="Normln"/>
    <w:autoRedefine/>
    <w:uiPriority w:val="39"/>
    <w:locked/>
    <w:rsid w:val="008E639C"/>
    <w:pPr>
      <w:tabs>
        <w:tab w:val="left" w:pos="960"/>
        <w:tab w:val="right" w:leader="dot" w:pos="9628"/>
      </w:tabs>
      <w:spacing w:after="60"/>
      <w:ind w:left="397"/>
    </w:pPr>
  </w:style>
  <w:style w:type="paragraph" w:customStyle="1" w:styleId="Nadpiszacatek">
    <w:name w:val="Nadpis zacatek"/>
    <w:basedOn w:val="Normln"/>
    <w:semiHidden/>
    <w:rsid w:val="00D15AE3"/>
    <w:pPr>
      <w:spacing w:after="240"/>
    </w:pPr>
    <w:rPr>
      <w:b/>
      <w:bCs/>
      <w:sz w:val="32"/>
    </w:rPr>
  </w:style>
  <w:style w:type="paragraph" w:styleId="Seznamobrzk">
    <w:name w:val="table of figures"/>
    <w:basedOn w:val="Normln"/>
    <w:next w:val="Normln"/>
    <w:uiPriority w:val="99"/>
    <w:rsid w:val="004C24F6"/>
    <w:pPr>
      <w:tabs>
        <w:tab w:val="right" w:leader="dot" w:pos="9639"/>
      </w:tabs>
      <w:spacing w:after="60"/>
    </w:pPr>
  </w:style>
  <w:style w:type="paragraph" w:customStyle="1" w:styleId="SRNadpismal">
    <w:name w:val="SR_Nadpis malý"/>
    <w:next w:val="Normln"/>
    <w:qFormat/>
    <w:rsid w:val="00FB23C2"/>
    <w:pPr>
      <w:keepNext/>
      <w:keepLines/>
      <w:pageBreakBefore/>
      <w:spacing w:after="240"/>
      <w:jc w:val="both"/>
    </w:pPr>
    <w:rPr>
      <w:b/>
      <w:sz w:val="28"/>
      <w:szCs w:val="24"/>
    </w:rPr>
  </w:style>
  <w:style w:type="paragraph" w:customStyle="1" w:styleId="Seznamliteratury">
    <w:name w:val="Seznam literatury"/>
    <w:basedOn w:val="Normln"/>
    <w:uiPriority w:val="99"/>
    <w:qFormat/>
    <w:rsid w:val="00171720"/>
    <w:pPr>
      <w:ind w:left="540" w:hanging="540"/>
    </w:pPr>
  </w:style>
  <w:style w:type="paragraph" w:styleId="Titulek">
    <w:name w:val="caption"/>
    <w:basedOn w:val="Normln"/>
    <w:next w:val="Normln"/>
    <w:link w:val="TitulekChar"/>
    <w:qFormat/>
    <w:rsid w:val="00664E22"/>
    <w:pPr>
      <w:keepNext/>
      <w:keepLines/>
      <w:spacing w:before="240" w:after="0"/>
    </w:pPr>
    <w:rPr>
      <w:b/>
      <w:bCs/>
    </w:rPr>
  </w:style>
  <w:style w:type="paragraph" w:customStyle="1" w:styleId="Odkazyvvodnmboxu">
    <w:name w:val="Odkazy v úvodním boxu"/>
    <w:basedOn w:val="Normln"/>
    <w:rsid w:val="007C5685"/>
    <w:pPr>
      <w:ind w:left="567"/>
    </w:pPr>
    <w:rPr>
      <w:b/>
      <w:bCs/>
      <w:i/>
      <w:iCs/>
    </w:rPr>
  </w:style>
  <w:style w:type="paragraph" w:customStyle="1" w:styleId="Seznamzkratek">
    <w:name w:val="Seznam zkratek"/>
    <w:basedOn w:val="Normln"/>
    <w:rsid w:val="00D1643C"/>
    <w:pPr>
      <w:tabs>
        <w:tab w:val="left" w:leader="dot" w:pos="3119"/>
      </w:tabs>
      <w:spacing w:after="0" w:line="264" w:lineRule="auto"/>
    </w:pPr>
  </w:style>
  <w:style w:type="paragraph" w:customStyle="1" w:styleId="Zdrojpoznmkapodtabulkougrafem">
    <w:name w:val="Zdroj/poznámka pod tabulkou/grafem"/>
    <w:basedOn w:val="Normln"/>
    <w:next w:val="Normln"/>
    <w:link w:val="ZdrojpoznmkapodtabulkougrafemCharChar"/>
    <w:rsid w:val="0018512F"/>
    <w:pPr>
      <w:spacing w:after="240"/>
      <w:contextualSpacing/>
    </w:pPr>
    <w:rPr>
      <w:i/>
      <w:sz w:val="16"/>
      <w:szCs w:val="16"/>
    </w:rPr>
  </w:style>
  <w:style w:type="character" w:customStyle="1" w:styleId="ZdrojpoznmkapodtabulkougrafemCharChar">
    <w:name w:val="Zdroj/poznámka pod tabulkou/grafem Char Char"/>
    <w:link w:val="Zdrojpoznmkapodtabulkougrafem"/>
    <w:rsid w:val="0018512F"/>
    <w:rPr>
      <w:rFonts w:ascii="Calibri" w:hAnsi="Calibri"/>
      <w:i/>
      <w:sz w:val="16"/>
      <w:szCs w:val="16"/>
    </w:rPr>
  </w:style>
  <w:style w:type="table" w:styleId="Mkatabulky">
    <w:name w:val="Table Grid"/>
    <w:basedOn w:val="Normlntabulka"/>
    <w:uiPriority w:val="59"/>
    <w:locked/>
    <w:rsid w:val="00650288"/>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Nadpis1bezsla">
    <w:name w:val="Styl Nadpis 1 bez čísla"/>
    <w:basedOn w:val="Nadpis1"/>
    <w:semiHidden/>
    <w:locked/>
    <w:rsid w:val="00C341C7"/>
    <w:pPr>
      <w:ind w:left="0" w:firstLine="0"/>
    </w:pPr>
    <w:rPr>
      <w:rFonts w:cs="Times New Roman"/>
      <w:szCs w:val="20"/>
    </w:rPr>
  </w:style>
  <w:style w:type="paragraph" w:customStyle="1" w:styleId="Jednotkypodnadpisemgrafunebotabulky">
    <w:name w:val="Jednotky pod nadpisem grafu nebo tabulky"/>
    <w:basedOn w:val="Normln"/>
    <w:rsid w:val="00032079"/>
    <w:pPr>
      <w:keepNext/>
      <w:spacing w:after="0"/>
    </w:pPr>
    <w:rPr>
      <w:i/>
      <w:iCs/>
      <w:sz w:val="16"/>
    </w:rPr>
  </w:style>
  <w:style w:type="character" w:styleId="Znakapoznpodarou">
    <w:name w:val="footnote reference"/>
    <w:aliases w:val="Footnote symbol,Footnote reference number,Times 10 Point,Exposant 3 Point,EN Footnote Reference,note TESI, Exposant 3 Point,PGI Fußnote Ziffer + Times New Roman,12 b.,Zúžené o ...,PGI Fußnote Ziffer,BVI fnr,Footnote call,SUPERS,R"/>
    <w:link w:val="FootnotesymbolCarZchn"/>
    <w:uiPriority w:val="99"/>
    <w:rsid w:val="005101FC"/>
    <w:rPr>
      <w:vertAlign w:val="superscript"/>
    </w:rPr>
  </w:style>
  <w:style w:type="paragraph" w:customStyle="1" w:styleId="Titulky">
    <w:name w:val="Titulky"/>
    <w:basedOn w:val="Titulek"/>
    <w:semiHidden/>
    <w:rsid w:val="00AB37AF"/>
    <w:pPr>
      <w:keepLines w:val="0"/>
      <w:spacing w:beforeLines="75" w:before="180"/>
      <w:jc w:val="left"/>
    </w:pPr>
    <w:rPr>
      <w:rFonts w:ascii="Arial" w:hAnsi="Arial"/>
    </w:rPr>
  </w:style>
  <w:style w:type="paragraph" w:customStyle="1" w:styleId="Fisklnvhled1strana">
    <w:name w:val="Fiskální výhled (1. strana)"/>
    <w:basedOn w:val="Zpat"/>
    <w:next w:val="eskrepubliky1strana"/>
    <w:semiHidden/>
    <w:locked/>
    <w:rsid w:val="002669D1"/>
    <w:pPr>
      <w:spacing w:before="7800" w:after="0"/>
      <w:ind w:left="1440" w:right="-289"/>
    </w:pPr>
    <w:rPr>
      <w:b/>
      <w:bCs/>
      <w:spacing w:val="10"/>
      <w:sz w:val="96"/>
    </w:rPr>
  </w:style>
  <w:style w:type="paragraph" w:customStyle="1" w:styleId="eskrepubliky1strana">
    <w:name w:val="České republiky (1. strana)"/>
    <w:basedOn w:val="Zpat"/>
    <w:semiHidden/>
    <w:locked/>
    <w:rsid w:val="002669D1"/>
    <w:pPr>
      <w:spacing w:after="0"/>
      <w:ind w:left="1440" w:right="-288"/>
    </w:pPr>
    <w:rPr>
      <w:b/>
      <w:bCs/>
      <w:sz w:val="56"/>
    </w:rPr>
  </w:style>
  <w:style w:type="paragraph" w:customStyle="1" w:styleId="Zdrojpodtabulkounebografem">
    <w:name w:val="Zdroj pod tabulkou nebo grafem"/>
    <w:basedOn w:val="Normln"/>
    <w:next w:val="Normln"/>
    <w:link w:val="ZdrojpodtabulkounebografemChar"/>
    <w:qFormat/>
    <w:rsid w:val="00597D21"/>
    <w:pPr>
      <w:spacing w:after="240"/>
      <w:contextualSpacing/>
    </w:pPr>
    <w:rPr>
      <w:i/>
      <w:sz w:val="16"/>
      <w:szCs w:val="16"/>
    </w:rPr>
  </w:style>
  <w:style w:type="paragraph" w:styleId="Textbubliny">
    <w:name w:val="Balloon Text"/>
    <w:basedOn w:val="Normln"/>
    <w:semiHidden/>
    <w:rsid w:val="005D2D8B"/>
    <w:rPr>
      <w:rFonts w:ascii="Tahoma" w:hAnsi="Tahoma" w:cs="Tahoma"/>
      <w:sz w:val="16"/>
      <w:szCs w:val="16"/>
    </w:rPr>
  </w:style>
  <w:style w:type="paragraph" w:customStyle="1" w:styleId="Titulek-jednotkypodnadpisemgrafunebotabulky">
    <w:name w:val="Titulek - jednotky pod nadpisem grafu nebo tabulky"/>
    <w:basedOn w:val="Normln"/>
    <w:rsid w:val="00342CDB"/>
    <w:pPr>
      <w:keepNext/>
      <w:keepLines/>
      <w:spacing w:after="0"/>
    </w:pPr>
    <w:rPr>
      <w:i/>
      <w:iCs/>
      <w:sz w:val="16"/>
    </w:rPr>
  </w:style>
  <w:style w:type="paragraph" w:styleId="Rozloendokumentu">
    <w:name w:val="Document Map"/>
    <w:basedOn w:val="Normln"/>
    <w:semiHidden/>
    <w:rsid w:val="006C3EB3"/>
    <w:pPr>
      <w:shd w:val="clear" w:color="auto" w:fill="000080"/>
    </w:pPr>
    <w:rPr>
      <w:rFonts w:ascii="Tahoma" w:hAnsi="Tahoma" w:cs="Tahoma"/>
    </w:rPr>
  </w:style>
  <w:style w:type="character" w:styleId="Odkaznakoment">
    <w:name w:val="annotation reference"/>
    <w:uiPriority w:val="99"/>
    <w:rsid w:val="00125F16"/>
    <w:rPr>
      <w:sz w:val="16"/>
      <w:szCs w:val="16"/>
    </w:rPr>
  </w:style>
  <w:style w:type="paragraph" w:styleId="Textkomente">
    <w:name w:val="annotation text"/>
    <w:basedOn w:val="Normln"/>
    <w:link w:val="TextkomenteChar"/>
    <w:uiPriority w:val="99"/>
    <w:rsid w:val="00125F16"/>
  </w:style>
  <w:style w:type="paragraph" w:styleId="Pedmtkomente">
    <w:name w:val="annotation subject"/>
    <w:basedOn w:val="Textkomente"/>
    <w:next w:val="Textkomente"/>
    <w:semiHidden/>
    <w:rsid w:val="00125F16"/>
    <w:rPr>
      <w:b/>
      <w:bCs/>
    </w:rPr>
  </w:style>
  <w:style w:type="paragraph" w:styleId="Zkladntext">
    <w:name w:val="Body Text"/>
    <w:basedOn w:val="Normln"/>
    <w:link w:val="ZkladntextChar"/>
    <w:locked/>
    <w:rsid w:val="00544878"/>
    <w:rPr>
      <w:lang w:eastAsia="en-US"/>
    </w:rPr>
  </w:style>
  <w:style w:type="character" w:customStyle="1" w:styleId="ZkladntextChar">
    <w:name w:val="Základní text Char"/>
    <w:link w:val="Zkladntext"/>
    <w:rsid w:val="00544878"/>
    <w:rPr>
      <w:rFonts w:ascii="Calibri" w:hAnsi="Calibri"/>
      <w:szCs w:val="24"/>
    </w:rPr>
  </w:style>
  <w:style w:type="paragraph" w:styleId="Textpoznpodarou">
    <w:name w:val="footnote text"/>
    <w:aliases w:val="Schriftart: 9 pt,Schriftart: 10 pt,Schriftart: 8 pt,Char,Text pozn. pod čarou1,Char Char Char1,Char Char1,Footnote Text Char1,Footnote Char,Footnote text,o,f,stile"/>
    <w:basedOn w:val="Normln"/>
    <w:link w:val="TextpoznpodarouChar"/>
    <w:qFormat/>
    <w:rsid w:val="007F3630"/>
    <w:rPr>
      <w:sz w:val="16"/>
    </w:rPr>
  </w:style>
  <w:style w:type="numbering" w:customStyle="1" w:styleId="StylSodrkami">
    <w:name w:val="Styl S odrážkami"/>
    <w:basedOn w:val="Bezseznamu"/>
    <w:rsid w:val="00866D85"/>
    <w:pPr>
      <w:numPr>
        <w:numId w:val="2"/>
      </w:numPr>
    </w:pPr>
  </w:style>
  <w:style w:type="paragraph" w:customStyle="1" w:styleId="NadpisAB">
    <w:name w:val="Nadpis AB"/>
    <w:basedOn w:val="Nadpis1"/>
    <w:rsid w:val="00D14A52"/>
    <w:pPr>
      <w:numPr>
        <w:numId w:val="3"/>
      </w:numPr>
      <w:jc w:val="left"/>
    </w:pPr>
  </w:style>
  <w:style w:type="character" w:customStyle="1" w:styleId="TitulekChar">
    <w:name w:val="Titulek Char"/>
    <w:link w:val="Titulek"/>
    <w:rsid w:val="00664E22"/>
    <w:rPr>
      <w:rFonts w:ascii="Calibri" w:hAnsi="Calibri"/>
      <w:b/>
      <w:bCs/>
      <w:lang w:val="cs-CZ" w:eastAsia="cs-CZ" w:bidi="ar-SA"/>
    </w:rPr>
  </w:style>
  <w:style w:type="paragraph" w:styleId="Revize">
    <w:name w:val="Revision"/>
    <w:hidden/>
    <w:uiPriority w:val="99"/>
    <w:semiHidden/>
    <w:rsid w:val="00A90BED"/>
  </w:style>
  <w:style w:type="character" w:customStyle="1" w:styleId="ZdrojpodtabulkounebografemChar">
    <w:name w:val="Zdroj pod tabulkou nebo grafem Char"/>
    <w:link w:val="Zdrojpodtabulkounebografem"/>
    <w:rsid w:val="00597D21"/>
    <w:rPr>
      <w:rFonts w:ascii="Calibri" w:hAnsi="Calibri"/>
      <w:i/>
      <w:sz w:val="16"/>
      <w:szCs w:val="16"/>
      <w:lang w:val="cs-CZ" w:eastAsia="cs-CZ" w:bidi="ar-SA"/>
    </w:rPr>
  </w:style>
  <w:style w:type="paragraph" w:customStyle="1" w:styleId="StylZdrojpoznmkapodtabulkougrafemnenKurzva">
    <w:name w:val="Styl Zdroj/poznámka pod tabulkou/grafem + není Kurzíva"/>
    <w:basedOn w:val="Zdrojpoznmkapodtabulkougrafem"/>
    <w:semiHidden/>
    <w:rsid w:val="002B461A"/>
    <w:rPr>
      <w:i w:val="0"/>
    </w:rPr>
  </w:style>
  <w:style w:type="paragraph" w:customStyle="1" w:styleId="Seznamtabulekaobrzk">
    <w:name w:val="Seznam tabulek a obrázků"/>
    <w:basedOn w:val="Seznamobrzk"/>
    <w:next w:val="Normln"/>
    <w:rsid w:val="001F24FC"/>
    <w:pPr>
      <w:spacing w:line="20" w:lineRule="atLeast"/>
    </w:pPr>
  </w:style>
  <w:style w:type="paragraph" w:customStyle="1" w:styleId="Tunodstavec">
    <w:name w:val="Tučný odstavec"/>
    <w:basedOn w:val="Normln"/>
    <w:link w:val="TunodstavecChar1"/>
    <w:rsid w:val="002C622D"/>
    <w:pPr>
      <w:spacing w:before="240" w:line="264" w:lineRule="auto"/>
    </w:pPr>
    <w:rPr>
      <w:rFonts w:ascii="Times New Roman" w:hAnsi="Times New Roman"/>
      <w:b/>
      <w:bCs/>
      <w:sz w:val="22"/>
    </w:rPr>
  </w:style>
  <w:style w:type="paragraph" w:customStyle="1" w:styleId="vod">
    <w:name w:val="Úvod"/>
    <w:basedOn w:val="Nadpis1"/>
    <w:next w:val="Normln"/>
    <w:semiHidden/>
    <w:rsid w:val="001F24FC"/>
    <w:pPr>
      <w:numPr>
        <w:numId w:val="0"/>
      </w:numPr>
    </w:pPr>
    <w:rPr>
      <w:rFonts w:cs="Times New Roman"/>
      <w:szCs w:val="20"/>
    </w:rPr>
  </w:style>
  <w:style w:type="character" w:customStyle="1" w:styleId="TunodstavecChar1">
    <w:name w:val="Tučný odstavec Char1"/>
    <w:link w:val="Tunodstavec"/>
    <w:rsid w:val="00B60DBD"/>
    <w:rPr>
      <w:b/>
      <w:bCs/>
      <w:sz w:val="22"/>
    </w:rPr>
  </w:style>
  <w:style w:type="paragraph" w:customStyle="1" w:styleId="Box-text">
    <w:name w:val="Box - text"/>
    <w:basedOn w:val="Normln"/>
    <w:uiPriority w:val="1"/>
    <w:qFormat/>
    <w:rsid w:val="006813A5"/>
    <w:rPr>
      <w:sz w:val="18"/>
    </w:rPr>
  </w:style>
  <w:style w:type="paragraph" w:customStyle="1" w:styleId="Stednmka21">
    <w:name w:val="Střední mřížka 21"/>
    <w:uiPriority w:val="1"/>
    <w:locked/>
    <w:rsid w:val="00EF6278"/>
    <w:pPr>
      <w:spacing w:after="120"/>
      <w:jc w:val="both"/>
    </w:pPr>
    <w:rPr>
      <w:rFonts w:eastAsia="Calibri"/>
      <w:sz w:val="22"/>
      <w:szCs w:val="22"/>
      <w:lang w:eastAsia="en-US"/>
    </w:rPr>
  </w:style>
  <w:style w:type="paragraph" w:customStyle="1" w:styleId="Box-nadpis">
    <w:name w:val="Box - nadpis"/>
    <w:basedOn w:val="SRNadpismal"/>
    <w:next w:val="Box-text"/>
    <w:uiPriority w:val="1"/>
    <w:qFormat/>
    <w:rsid w:val="00556DD6"/>
    <w:pPr>
      <w:spacing w:before="120"/>
    </w:pPr>
    <w:rPr>
      <w:bCs/>
      <w:sz w:val="20"/>
      <w:szCs w:val="20"/>
    </w:rPr>
  </w:style>
  <w:style w:type="character" w:customStyle="1" w:styleId="TextpoznpodarouChar">
    <w:name w:val="Text pozn. pod čarou Char"/>
    <w:aliases w:val="Schriftart: 9 pt Char1,Schriftart: 10 pt Char1,Schriftart: 8 pt Char1,Char Char2,Text pozn. pod čarou1 Char1,Char Char Char1 Char1,Char Char1 Char1,Footnote Text Char1 Char1,Footnote Char Char,Footnote text Char,o Char,f Char"/>
    <w:link w:val="Textpoznpodarou"/>
    <w:rsid w:val="007F3630"/>
    <w:rPr>
      <w:sz w:val="16"/>
    </w:rPr>
  </w:style>
  <w:style w:type="character" w:customStyle="1" w:styleId="ZhlavChar">
    <w:name w:val="Záhlaví Char"/>
    <w:link w:val="Zhlav"/>
    <w:rsid w:val="000D7324"/>
  </w:style>
  <w:style w:type="character" w:customStyle="1" w:styleId="ZpatChar">
    <w:name w:val="Zápatí Char"/>
    <w:link w:val="Zpat"/>
    <w:rsid w:val="00AB21B0"/>
  </w:style>
  <w:style w:type="paragraph" w:styleId="Odstavecseseznamem">
    <w:name w:val="List Paragraph"/>
    <w:basedOn w:val="Normln"/>
    <w:uiPriority w:val="34"/>
    <w:qFormat/>
    <w:locked/>
    <w:rsid w:val="00965B33"/>
    <w:pPr>
      <w:ind w:left="720"/>
      <w:contextualSpacing/>
    </w:pPr>
    <w:rPr>
      <w:rFonts w:eastAsia="Calibri"/>
    </w:rPr>
  </w:style>
  <w:style w:type="character" w:styleId="Siln">
    <w:name w:val="Strong"/>
    <w:qFormat/>
    <w:locked/>
    <w:rsid w:val="001F3C10"/>
    <w:rPr>
      <w:b/>
      <w:bCs/>
    </w:rPr>
  </w:style>
  <w:style w:type="character" w:customStyle="1" w:styleId="TextpoznpodarouChar1">
    <w:name w:val="Text pozn. pod čarou Char1"/>
    <w:aliases w:val="Schriftart: 9 pt Char,Schriftart: 10 pt Char,Schriftart: 8 pt Char,Text pozn. pod čarou Char Char, Char Char,Char Char,Text pozn. pod čarou1 Char,Char Char Char1 Char,Char Char1 Char,Footnote Text Char1 Char"/>
    <w:semiHidden/>
    <w:rsid w:val="00EC0EAF"/>
    <w:rPr>
      <w:lang w:val="cs-CZ" w:eastAsia="cs-CZ" w:bidi="ar-SA"/>
    </w:rPr>
  </w:style>
  <w:style w:type="paragraph" w:customStyle="1" w:styleId="SRPoznmkaazdroj">
    <w:name w:val="SR_Poznámka a zdroj"/>
    <w:basedOn w:val="Normln"/>
    <w:next w:val="Normln"/>
    <w:uiPriority w:val="7"/>
    <w:qFormat/>
    <w:rsid w:val="00B57565"/>
    <w:pPr>
      <w:spacing w:after="240"/>
      <w:contextualSpacing/>
    </w:pPr>
    <w:rPr>
      <w:rFonts w:eastAsia="Calibri"/>
      <w:i/>
      <w:sz w:val="16"/>
      <w:lang w:eastAsia="en-US"/>
    </w:rPr>
  </w:style>
  <w:style w:type="character" w:customStyle="1" w:styleId="TextkomenteChar">
    <w:name w:val="Text komentáře Char"/>
    <w:link w:val="Textkomente"/>
    <w:uiPriority w:val="99"/>
    <w:rsid w:val="00AB4DFD"/>
  </w:style>
  <w:style w:type="paragraph" w:customStyle="1" w:styleId="Barevnstnovnzvraznn11">
    <w:name w:val="Barevné stínování – zvýraznění 11"/>
    <w:hidden/>
    <w:uiPriority w:val="99"/>
    <w:semiHidden/>
    <w:rsid w:val="00AB4DFD"/>
  </w:style>
  <w:style w:type="paragraph" w:customStyle="1" w:styleId="Jednotka">
    <w:name w:val="Jednotka"/>
    <w:basedOn w:val="Normln"/>
    <w:next w:val="Bezmezer"/>
    <w:uiPriority w:val="7"/>
    <w:qFormat/>
    <w:rsid w:val="00752029"/>
    <w:pPr>
      <w:keepNext/>
      <w:keepLines/>
      <w:spacing w:after="0"/>
      <w:jc w:val="left"/>
    </w:pPr>
    <w:rPr>
      <w:rFonts w:eastAsia="Calibri"/>
      <w:i/>
      <w:sz w:val="16"/>
      <w:szCs w:val="16"/>
      <w:lang w:eastAsia="en-US"/>
    </w:rPr>
  </w:style>
  <w:style w:type="paragraph" w:styleId="Bezmezer">
    <w:name w:val="No Spacing"/>
    <w:uiPriority w:val="1"/>
    <w:qFormat/>
    <w:locked/>
    <w:rsid w:val="00752029"/>
    <w:pPr>
      <w:jc w:val="both"/>
    </w:pPr>
  </w:style>
  <w:style w:type="paragraph" w:customStyle="1" w:styleId="Zdrojelit">
    <w:name w:val="Zdroje lit."/>
    <w:basedOn w:val="Normln"/>
    <w:qFormat/>
    <w:rsid w:val="006C10CA"/>
    <w:pPr>
      <w:ind w:left="540" w:hanging="540"/>
    </w:pPr>
  </w:style>
  <w:style w:type="paragraph" w:styleId="Zkladntextodsazen">
    <w:name w:val="Body Text Indent"/>
    <w:basedOn w:val="Normln"/>
    <w:link w:val="ZkladntextodsazenChar"/>
    <w:locked/>
    <w:rsid w:val="002B0497"/>
    <w:pPr>
      <w:ind w:left="283"/>
    </w:pPr>
  </w:style>
  <w:style w:type="character" w:customStyle="1" w:styleId="ZkladntextodsazenChar">
    <w:name w:val="Základní text odsazený Char"/>
    <w:basedOn w:val="Standardnpsmoodstavce"/>
    <w:link w:val="Zkladntextodsazen"/>
    <w:rsid w:val="002B0497"/>
  </w:style>
  <w:style w:type="paragraph" w:customStyle="1" w:styleId="Zkladntext21">
    <w:name w:val="Základní text 21"/>
    <w:basedOn w:val="Normln"/>
    <w:rsid w:val="004208F7"/>
    <w:pPr>
      <w:overflowPunct w:val="0"/>
      <w:autoSpaceDE w:val="0"/>
      <w:autoSpaceDN w:val="0"/>
      <w:adjustRightInd w:val="0"/>
      <w:spacing w:after="0" w:line="360" w:lineRule="auto"/>
      <w:ind w:firstLine="709"/>
      <w:textAlignment w:val="baseline"/>
    </w:pPr>
    <w:rPr>
      <w:rFonts w:ascii="Times New Roman" w:hAnsi="Times New Roman"/>
      <w:sz w:val="24"/>
    </w:rPr>
  </w:style>
  <w:style w:type="paragraph" w:styleId="Nadpisobsahu">
    <w:name w:val="TOC Heading"/>
    <w:basedOn w:val="Nadpis1"/>
    <w:next w:val="Normln"/>
    <w:uiPriority w:val="39"/>
    <w:semiHidden/>
    <w:unhideWhenUsed/>
    <w:qFormat/>
    <w:rsid w:val="008D01C8"/>
    <w:pPr>
      <w:keepLines/>
      <w:pageBreakBefore w:val="0"/>
      <w:numPr>
        <w:numId w:val="0"/>
      </w:numPr>
      <w:spacing w:before="480" w:after="0" w:line="276" w:lineRule="auto"/>
      <w:jc w:val="left"/>
      <w:outlineLvl w:val="9"/>
    </w:pPr>
    <w:rPr>
      <w:rFonts w:ascii="Cambria" w:hAnsi="Cambria" w:cs="Times New Roman"/>
      <w:color w:val="365F91"/>
      <w:kern w:val="0"/>
      <w:sz w:val="28"/>
      <w:szCs w:val="28"/>
    </w:rPr>
  </w:style>
  <w:style w:type="paragraph" w:styleId="Obsah3">
    <w:name w:val="toc 3"/>
    <w:basedOn w:val="Normln"/>
    <w:next w:val="Normln"/>
    <w:autoRedefine/>
    <w:uiPriority w:val="39"/>
    <w:rsid w:val="008E639C"/>
    <w:pPr>
      <w:ind w:left="567"/>
    </w:pPr>
  </w:style>
  <w:style w:type="paragraph" w:customStyle="1" w:styleId="StylTitulekTun">
    <w:name w:val="Styl Titulek + Tučné"/>
    <w:basedOn w:val="Titulek"/>
    <w:link w:val="StylTitulekTunChar"/>
    <w:rsid w:val="00150579"/>
    <w:pPr>
      <w:keepLines w:val="0"/>
      <w:jc w:val="left"/>
    </w:pPr>
  </w:style>
  <w:style w:type="character" w:customStyle="1" w:styleId="StylTitulekTunChar">
    <w:name w:val="Styl Titulek + Tučné Char"/>
    <w:link w:val="StylTitulekTun"/>
    <w:rsid w:val="00150579"/>
    <w:rPr>
      <w:b/>
      <w:bCs/>
    </w:rPr>
  </w:style>
  <w:style w:type="paragraph" w:customStyle="1" w:styleId="Styl1mmmmm">
    <w:name w:val="Styl1mmmmm"/>
    <w:basedOn w:val="Normln"/>
    <w:rsid w:val="00150579"/>
    <w:pPr>
      <w:numPr>
        <w:numId w:val="4"/>
      </w:numPr>
      <w:spacing w:after="0" w:line="360" w:lineRule="auto"/>
    </w:pPr>
    <w:rPr>
      <w:rFonts w:ascii="Times New Roman" w:hAnsi="Times New Roman"/>
      <w:sz w:val="24"/>
      <w:szCs w:val="24"/>
    </w:rPr>
  </w:style>
  <w:style w:type="paragraph" w:customStyle="1" w:styleId="Odstavecseseznamem1">
    <w:name w:val="Odstavec se seznamem1"/>
    <w:basedOn w:val="Normln"/>
    <w:rsid w:val="004F55E3"/>
    <w:pPr>
      <w:spacing w:after="0"/>
      <w:ind w:left="720"/>
      <w:contextualSpacing/>
      <w:jc w:val="left"/>
    </w:pPr>
    <w:rPr>
      <w:rFonts w:ascii="Times New Roman" w:hAnsi="Times New Roman"/>
      <w:sz w:val="24"/>
      <w:szCs w:val="24"/>
    </w:rPr>
  </w:style>
  <w:style w:type="paragraph" w:customStyle="1" w:styleId="Odstavecseseznamem10">
    <w:name w:val="Odstavec se seznamem1"/>
    <w:aliases w:val="Odstavec cíl se seznamem"/>
    <w:basedOn w:val="Normln"/>
    <w:uiPriority w:val="34"/>
    <w:qFormat/>
    <w:rsid w:val="00062CD1"/>
    <w:pPr>
      <w:spacing w:after="0"/>
      <w:ind w:left="720"/>
      <w:contextualSpacing/>
      <w:jc w:val="left"/>
    </w:pPr>
    <w:rPr>
      <w:rFonts w:ascii="Times New Roman" w:hAnsi="Times New Roman"/>
      <w:sz w:val="24"/>
      <w:szCs w:val="24"/>
    </w:rPr>
  </w:style>
  <w:style w:type="paragraph" w:customStyle="1" w:styleId="Popisky">
    <w:name w:val="Popisky"/>
    <w:rsid w:val="00801527"/>
    <w:rPr>
      <w:rFonts w:ascii="Arial" w:hAnsi="Arial"/>
    </w:rPr>
  </w:style>
  <w:style w:type="paragraph" w:customStyle="1" w:styleId="Zkladntext210">
    <w:name w:val="Základní text 21"/>
    <w:basedOn w:val="Normln"/>
    <w:rsid w:val="00EA7802"/>
    <w:pPr>
      <w:overflowPunct w:val="0"/>
      <w:autoSpaceDE w:val="0"/>
      <w:autoSpaceDN w:val="0"/>
      <w:adjustRightInd w:val="0"/>
      <w:spacing w:after="0"/>
      <w:jc w:val="left"/>
      <w:textAlignment w:val="baseline"/>
    </w:pPr>
    <w:rPr>
      <w:rFonts w:ascii="Times New Roman" w:hAnsi="Times New Roman"/>
    </w:rPr>
  </w:style>
  <w:style w:type="paragraph" w:styleId="Normlnweb">
    <w:name w:val="Normal (Web)"/>
    <w:basedOn w:val="Normln"/>
    <w:uiPriority w:val="99"/>
    <w:rsid w:val="00157471"/>
    <w:pPr>
      <w:spacing w:before="100" w:beforeAutospacing="1" w:after="100" w:afterAutospacing="1"/>
      <w:jc w:val="left"/>
    </w:pPr>
    <w:rPr>
      <w:rFonts w:ascii="Times New Roman" w:hAnsi="Times New Roman"/>
      <w:sz w:val="24"/>
      <w:szCs w:val="24"/>
    </w:rPr>
  </w:style>
  <w:style w:type="paragraph" w:customStyle="1" w:styleId="SRNadpisseitu">
    <w:name w:val="SR_Nadpis sešitu"/>
    <w:basedOn w:val="Normln"/>
    <w:qFormat/>
    <w:rsid w:val="00FB23C2"/>
    <w:pPr>
      <w:spacing w:before="3480" w:after="0"/>
      <w:jc w:val="center"/>
    </w:pPr>
    <w:rPr>
      <w:b/>
      <w:spacing w:val="10"/>
      <w:sz w:val="36"/>
      <w:szCs w:val="36"/>
    </w:rPr>
  </w:style>
  <w:style w:type="paragraph" w:customStyle="1" w:styleId="SRNadpis1">
    <w:name w:val="SR_Nadpis 1"/>
    <w:basedOn w:val="Nadpis1"/>
    <w:qFormat/>
    <w:rsid w:val="007866E6"/>
    <w:pPr>
      <w:tabs>
        <w:tab w:val="clear" w:pos="567"/>
        <w:tab w:val="num" w:pos="709"/>
      </w:tabs>
      <w:spacing w:before="240" w:after="360"/>
      <w:ind w:left="709" w:hanging="709"/>
      <w:jc w:val="left"/>
    </w:pPr>
  </w:style>
  <w:style w:type="paragraph" w:customStyle="1" w:styleId="SRNadpis2">
    <w:name w:val="SR_Nadpis 2"/>
    <w:basedOn w:val="Nadpis2"/>
    <w:qFormat/>
    <w:rsid w:val="00FE6B4A"/>
    <w:pPr>
      <w:tabs>
        <w:tab w:val="clear" w:pos="1135"/>
      </w:tabs>
      <w:suppressAutoHyphens/>
      <w:spacing w:before="360" w:after="240"/>
      <w:ind w:left="709" w:hanging="709"/>
    </w:pPr>
  </w:style>
  <w:style w:type="paragraph" w:customStyle="1" w:styleId="SRNadpis3">
    <w:name w:val="SR_Nadpis 3"/>
    <w:basedOn w:val="Nadpis3"/>
    <w:qFormat/>
    <w:rsid w:val="00702405"/>
    <w:pPr>
      <w:tabs>
        <w:tab w:val="clear" w:pos="2138"/>
      </w:tabs>
      <w:suppressAutoHyphens/>
      <w:spacing w:before="360" w:after="240"/>
      <w:ind w:left="992" w:hanging="992"/>
      <w:jc w:val="both"/>
    </w:pPr>
  </w:style>
  <w:style w:type="paragraph" w:customStyle="1" w:styleId="SRTitulek1">
    <w:name w:val="SR_Titulek 1"/>
    <w:basedOn w:val="Titulek"/>
    <w:qFormat/>
    <w:rsid w:val="000E432A"/>
    <w:pPr>
      <w:spacing w:after="120"/>
    </w:pPr>
  </w:style>
  <w:style w:type="paragraph" w:customStyle="1" w:styleId="SROdrka10">
    <w:name w:val="SR_Odrážka 1"/>
    <w:basedOn w:val="Normln"/>
    <w:qFormat/>
    <w:rsid w:val="00FC670C"/>
    <w:pPr>
      <w:tabs>
        <w:tab w:val="num" w:pos="170"/>
      </w:tabs>
      <w:suppressAutoHyphens/>
      <w:spacing w:before="120"/>
      <w:ind w:left="170" w:hanging="170"/>
    </w:pPr>
  </w:style>
  <w:style w:type="paragraph" w:customStyle="1" w:styleId="SRTextnomal">
    <w:name w:val="SR_Text nomal"/>
    <w:basedOn w:val="Normln"/>
    <w:qFormat/>
    <w:rsid w:val="00C07F86"/>
    <w:pPr>
      <w:suppressAutoHyphens/>
      <w:spacing w:after="60"/>
    </w:pPr>
  </w:style>
  <w:style w:type="paragraph" w:customStyle="1" w:styleId="Default">
    <w:name w:val="Default"/>
    <w:rsid w:val="00CB41BB"/>
    <w:pPr>
      <w:autoSpaceDE w:val="0"/>
      <w:autoSpaceDN w:val="0"/>
      <w:adjustRightInd w:val="0"/>
    </w:pPr>
    <w:rPr>
      <w:rFonts w:ascii="Arial" w:eastAsia="Calibri" w:hAnsi="Arial" w:cs="Arial"/>
      <w:color w:val="000000"/>
      <w:sz w:val="24"/>
      <w:szCs w:val="24"/>
      <w:lang w:eastAsia="en-US"/>
    </w:rPr>
  </w:style>
  <w:style w:type="paragraph" w:customStyle="1" w:styleId="SROdrka2">
    <w:name w:val="SR_Odrážka 2"/>
    <w:qFormat/>
    <w:rsid w:val="00177E3B"/>
    <w:pPr>
      <w:numPr>
        <w:ilvl w:val="1"/>
        <w:numId w:val="5"/>
      </w:numPr>
      <w:tabs>
        <w:tab w:val="clear" w:pos="1080"/>
        <w:tab w:val="num" w:pos="567"/>
      </w:tabs>
      <w:suppressAutoHyphens/>
      <w:ind w:left="568" w:hanging="284"/>
      <w:jc w:val="both"/>
    </w:pPr>
  </w:style>
  <w:style w:type="paragraph" w:customStyle="1" w:styleId="SROdrka1tun">
    <w:name w:val="SR_Odrážka 1 tučně"/>
    <w:basedOn w:val="SROdrka10"/>
    <w:qFormat/>
    <w:rsid w:val="00B54024"/>
    <w:rPr>
      <w:b/>
    </w:rPr>
  </w:style>
  <w:style w:type="character" w:customStyle="1" w:styleId="Nadpis2Char">
    <w:name w:val="Nadpis 2 Char"/>
    <w:link w:val="Nadpis2"/>
    <w:uiPriority w:val="9"/>
    <w:rsid w:val="0097621B"/>
    <w:rPr>
      <w:rFonts w:cs="Arial"/>
      <w:b/>
      <w:bCs/>
      <w:iCs/>
      <w:sz w:val="28"/>
      <w:szCs w:val="28"/>
    </w:rPr>
  </w:style>
  <w:style w:type="paragraph" w:customStyle="1" w:styleId="ZKPoznpodarou">
    <w:name w:val="ZK_Pozn. pod čarou"/>
    <w:basedOn w:val="Textpoznpodarou"/>
    <w:link w:val="ZKPoznpodarouChar"/>
    <w:rsid w:val="00DA0377"/>
    <w:pPr>
      <w:spacing w:after="0"/>
    </w:pPr>
    <w:rPr>
      <w:szCs w:val="16"/>
    </w:rPr>
  </w:style>
  <w:style w:type="character" w:customStyle="1" w:styleId="ZKPoznpodarouChar">
    <w:name w:val="ZK_Pozn. pod čarou Char"/>
    <w:link w:val="ZKPoznpodarou"/>
    <w:rsid w:val="00DA0377"/>
    <w:rPr>
      <w:sz w:val="16"/>
      <w:szCs w:val="16"/>
    </w:rPr>
  </w:style>
  <w:style w:type="paragraph" w:customStyle="1" w:styleId="SRtextodstavce">
    <w:name w:val="SR_text odstavce"/>
    <w:basedOn w:val="Normln"/>
    <w:qFormat/>
    <w:rsid w:val="007F3192"/>
    <w:pPr>
      <w:spacing w:after="60"/>
    </w:pPr>
    <w:rPr>
      <w:rFonts w:cs="Arial"/>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ln"/>
    <w:link w:val="Znakapoznpodarou"/>
    <w:uiPriority w:val="99"/>
    <w:rsid w:val="00F8440C"/>
    <w:pPr>
      <w:spacing w:after="160" w:line="240" w:lineRule="exact"/>
    </w:pPr>
    <w:rPr>
      <w:vertAlign w:val="superscript"/>
    </w:rPr>
  </w:style>
  <w:style w:type="paragraph" w:customStyle="1" w:styleId="SROdrka1">
    <w:name w:val="SR_Odrážka_1"/>
    <w:basedOn w:val="Normln"/>
    <w:qFormat/>
    <w:rsid w:val="00344F6B"/>
    <w:pPr>
      <w:numPr>
        <w:numId w:val="5"/>
      </w:numPr>
      <w:tabs>
        <w:tab w:val="clear" w:pos="170"/>
        <w:tab w:val="num" w:pos="426"/>
      </w:tabs>
      <w:suppressAutoHyphens/>
      <w:ind w:left="426" w:hanging="426"/>
    </w:pPr>
  </w:style>
  <w:style w:type="paragraph" w:customStyle="1" w:styleId="SROdrka">
    <w:name w:val="SR_Odrážka"/>
    <w:basedOn w:val="Normln"/>
    <w:qFormat/>
    <w:rsid w:val="00994609"/>
    <w:pPr>
      <w:ind w:left="284" w:hanging="284"/>
    </w:pPr>
  </w:style>
  <w:style w:type="paragraph" w:customStyle="1" w:styleId="SRNadpisploh">
    <w:name w:val="SR_Nadpis příloh"/>
    <w:basedOn w:val="Zkladntext210"/>
    <w:qFormat/>
    <w:rsid w:val="00CB00DB"/>
    <w:rPr>
      <w:rFonts w:ascii="Calibri" w:hAnsi="Calibri"/>
      <w:b/>
      <w:bCs/>
    </w:rPr>
  </w:style>
  <w:style w:type="paragraph" w:customStyle="1" w:styleId="StylZa6b">
    <w:name w:val="Styl Za:  6 b."/>
    <w:basedOn w:val="Normln"/>
    <w:rsid w:val="001B7F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4502">
      <w:bodyDiv w:val="1"/>
      <w:marLeft w:val="0"/>
      <w:marRight w:val="0"/>
      <w:marTop w:val="0"/>
      <w:marBottom w:val="0"/>
      <w:divBdr>
        <w:top w:val="none" w:sz="0" w:space="0" w:color="auto"/>
        <w:left w:val="none" w:sz="0" w:space="0" w:color="auto"/>
        <w:bottom w:val="none" w:sz="0" w:space="0" w:color="auto"/>
        <w:right w:val="none" w:sz="0" w:space="0" w:color="auto"/>
      </w:divBdr>
    </w:div>
    <w:div w:id="14231432">
      <w:bodyDiv w:val="1"/>
      <w:marLeft w:val="0"/>
      <w:marRight w:val="0"/>
      <w:marTop w:val="0"/>
      <w:marBottom w:val="0"/>
      <w:divBdr>
        <w:top w:val="none" w:sz="0" w:space="0" w:color="auto"/>
        <w:left w:val="none" w:sz="0" w:space="0" w:color="auto"/>
        <w:bottom w:val="none" w:sz="0" w:space="0" w:color="auto"/>
        <w:right w:val="none" w:sz="0" w:space="0" w:color="auto"/>
      </w:divBdr>
    </w:div>
    <w:div w:id="42559515">
      <w:bodyDiv w:val="1"/>
      <w:marLeft w:val="0"/>
      <w:marRight w:val="0"/>
      <w:marTop w:val="0"/>
      <w:marBottom w:val="0"/>
      <w:divBdr>
        <w:top w:val="none" w:sz="0" w:space="0" w:color="auto"/>
        <w:left w:val="none" w:sz="0" w:space="0" w:color="auto"/>
        <w:bottom w:val="none" w:sz="0" w:space="0" w:color="auto"/>
        <w:right w:val="none" w:sz="0" w:space="0" w:color="auto"/>
      </w:divBdr>
    </w:div>
    <w:div w:id="42565348">
      <w:bodyDiv w:val="1"/>
      <w:marLeft w:val="0"/>
      <w:marRight w:val="0"/>
      <w:marTop w:val="0"/>
      <w:marBottom w:val="0"/>
      <w:divBdr>
        <w:top w:val="none" w:sz="0" w:space="0" w:color="auto"/>
        <w:left w:val="none" w:sz="0" w:space="0" w:color="auto"/>
        <w:bottom w:val="none" w:sz="0" w:space="0" w:color="auto"/>
        <w:right w:val="none" w:sz="0" w:space="0" w:color="auto"/>
      </w:divBdr>
    </w:div>
    <w:div w:id="61223538">
      <w:bodyDiv w:val="1"/>
      <w:marLeft w:val="0"/>
      <w:marRight w:val="0"/>
      <w:marTop w:val="0"/>
      <w:marBottom w:val="0"/>
      <w:divBdr>
        <w:top w:val="none" w:sz="0" w:space="0" w:color="auto"/>
        <w:left w:val="none" w:sz="0" w:space="0" w:color="auto"/>
        <w:bottom w:val="none" w:sz="0" w:space="0" w:color="auto"/>
        <w:right w:val="none" w:sz="0" w:space="0" w:color="auto"/>
      </w:divBdr>
    </w:div>
    <w:div w:id="63724050">
      <w:bodyDiv w:val="1"/>
      <w:marLeft w:val="0"/>
      <w:marRight w:val="0"/>
      <w:marTop w:val="0"/>
      <w:marBottom w:val="0"/>
      <w:divBdr>
        <w:top w:val="none" w:sz="0" w:space="0" w:color="auto"/>
        <w:left w:val="none" w:sz="0" w:space="0" w:color="auto"/>
        <w:bottom w:val="none" w:sz="0" w:space="0" w:color="auto"/>
        <w:right w:val="none" w:sz="0" w:space="0" w:color="auto"/>
      </w:divBdr>
    </w:div>
    <w:div w:id="66997437">
      <w:bodyDiv w:val="1"/>
      <w:marLeft w:val="0"/>
      <w:marRight w:val="0"/>
      <w:marTop w:val="0"/>
      <w:marBottom w:val="0"/>
      <w:divBdr>
        <w:top w:val="none" w:sz="0" w:space="0" w:color="auto"/>
        <w:left w:val="none" w:sz="0" w:space="0" w:color="auto"/>
        <w:bottom w:val="none" w:sz="0" w:space="0" w:color="auto"/>
        <w:right w:val="none" w:sz="0" w:space="0" w:color="auto"/>
      </w:divBdr>
    </w:div>
    <w:div w:id="88626128">
      <w:bodyDiv w:val="1"/>
      <w:marLeft w:val="0"/>
      <w:marRight w:val="0"/>
      <w:marTop w:val="0"/>
      <w:marBottom w:val="0"/>
      <w:divBdr>
        <w:top w:val="none" w:sz="0" w:space="0" w:color="auto"/>
        <w:left w:val="none" w:sz="0" w:space="0" w:color="auto"/>
        <w:bottom w:val="none" w:sz="0" w:space="0" w:color="auto"/>
        <w:right w:val="none" w:sz="0" w:space="0" w:color="auto"/>
      </w:divBdr>
    </w:div>
    <w:div w:id="96407638">
      <w:bodyDiv w:val="1"/>
      <w:marLeft w:val="0"/>
      <w:marRight w:val="0"/>
      <w:marTop w:val="0"/>
      <w:marBottom w:val="0"/>
      <w:divBdr>
        <w:top w:val="none" w:sz="0" w:space="0" w:color="auto"/>
        <w:left w:val="none" w:sz="0" w:space="0" w:color="auto"/>
        <w:bottom w:val="none" w:sz="0" w:space="0" w:color="auto"/>
        <w:right w:val="none" w:sz="0" w:space="0" w:color="auto"/>
      </w:divBdr>
    </w:div>
    <w:div w:id="99574590">
      <w:bodyDiv w:val="1"/>
      <w:marLeft w:val="0"/>
      <w:marRight w:val="0"/>
      <w:marTop w:val="0"/>
      <w:marBottom w:val="0"/>
      <w:divBdr>
        <w:top w:val="none" w:sz="0" w:space="0" w:color="auto"/>
        <w:left w:val="none" w:sz="0" w:space="0" w:color="auto"/>
        <w:bottom w:val="none" w:sz="0" w:space="0" w:color="auto"/>
        <w:right w:val="none" w:sz="0" w:space="0" w:color="auto"/>
      </w:divBdr>
    </w:div>
    <w:div w:id="103771875">
      <w:bodyDiv w:val="1"/>
      <w:marLeft w:val="0"/>
      <w:marRight w:val="0"/>
      <w:marTop w:val="0"/>
      <w:marBottom w:val="0"/>
      <w:divBdr>
        <w:top w:val="none" w:sz="0" w:space="0" w:color="auto"/>
        <w:left w:val="none" w:sz="0" w:space="0" w:color="auto"/>
        <w:bottom w:val="none" w:sz="0" w:space="0" w:color="auto"/>
        <w:right w:val="none" w:sz="0" w:space="0" w:color="auto"/>
      </w:divBdr>
    </w:div>
    <w:div w:id="116879764">
      <w:bodyDiv w:val="1"/>
      <w:marLeft w:val="0"/>
      <w:marRight w:val="0"/>
      <w:marTop w:val="0"/>
      <w:marBottom w:val="0"/>
      <w:divBdr>
        <w:top w:val="none" w:sz="0" w:space="0" w:color="auto"/>
        <w:left w:val="none" w:sz="0" w:space="0" w:color="auto"/>
        <w:bottom w:val="none" w:sz="0" w:space="0" w:color="auto"/>
        <w:right w:val="none" w:sz="0" w:space="0" w:color="auto"/>
      </w:divBdr>
    </w:div>
    <w:div w:id="120852682">
      <w:bodyDiv w:val="1"/>
      <w:marLeft w:val="0"/>
      <w:marRight w:val="0"/>
      <w:marTop w:val="0"/>
      <w:marBottom w:val="0"/>
      <w:divBdr>
        <w:top w:val="none" w:sz="0" w:space="0" w:color="auto"/>
        <w:left w:val="none" w:sz="0" w:space="0" w:color="auto"/>
        <w:bottom w:val="none" w:sz="0" w:space="0" w:color="auto"/>
        <w:right w:val="none" w:sz="0" w:space="0" w:color="auto"/>
      </w:divBdr>
    </w:div>
    <w:div w:id="122618123">
      <w:bodyDiv w:val="1"/>
      <w:marLeft w:val="0"/>
      <w:marRight w:val="0"/>
      <w:marTop w:val="0"/>
      <w:marBottom w:val="0"/>
      <w:divBdr>
        <w:top w:val="none" w:sz="0" w:space="0" w:color="auto"/>
        <w:left w:val="none" w:sz="0" w:space="0" w:color="auto"/>
        <w:bottom w:val="none" w:sz="0" w:space="0" w:color="auto"/>
        <w:right w:val="none" w:sz="0" w:space="0" w:color="auto"/>
      </w:divBdr>
    </w:div>
    <w:div w:id="129369319">
      <w:bodyDiv w:val="1"/>
      <w:marLeft w:val="0"/>
      <w:marRight w:val="0"/>
      <w:marTop w:val="0"/>
      <w:marBottom w:val="0"/>
      <w:divBdr>
        <w:top w:val="none" w:sz="0" w:space="0" w:color="auto"/>
        <w:left w:val="none" w:sz="0" w:space="0" w:color="auto"/>
        <w:bottom w:val="none" w:sz="0" w:space="0" w:color="auto"/>
        <w:right w:val="none" w:sz="0" w:space="0" w:color="auto"/>
      </w:divBdr>
    </w:div>
    <w:div w:id="139663159">
      <w:bodyDiv w:val="1"/>
      <w:marLeft w:val="0"/>
      <w:marRight w:val="0"/>
      <w:marTop w:val="0"/>
      <w:marBottom w:val="0"/>
      <w:divBdr>
        <w:top w:val="none" w:sz="0" w:space="0" w:color="auto"/>
        <w:left w:val="none" w:sz="0" w:space="0" w:color="auto"/>
        <w:bottom w:val="none" w:sz="0" w:space="0" w:color="auto"/>
        <w:right w:val="none" w:sz="0" w:space="0" w:color="auto"/>
      </w:divBdr>
    </w:div>
    <w:div w:id="148249760">
      <w:bodyDiv w:val="1"/>
      <w:marLeft w:val="0"/>
      <w:marRight w:val="0"/>
      <w:marTop w:val="0"/>
      <w:marBottom w:val="0"/>
      <w:divBdr>
        <w:top w:val="none" w:sz="0" w:space="0" w:color="auto"/>
        <w:left w:val="none" w:sz="0" w:space="0" w:color="auto"/>
        <w:bottom w:val="none" w:sz="0" w:space="0" w:color="auto"/>
        <w:right w:val="none" w:sz="0" w:space="0" w:color="auto"/>
      </w:divBdr>
    </w:div>
    <w:div w:id="167257058">
      <w:bodyDiv w:val="1"/>
      <w:marLeft w:val="0"/>
      <w:marRight w:val="0"/>
      <w:marTop w:val="0"/>
      <w:marBottom w:val="0"/>
      <w:divBdr>
        <w:top w:val="none" w:sz="0" w:space="0" w:color="auto"/>
        <w:left w:val="none" w:sz="0" w:space="0" w:color="auto"/>
        <w:bottom w:val="none" w:sz="0" w:space="0" w:color="auto"/>
        <w:right w:val="none" w:sz="0" w:space="0" w:color="auto"/>
      </w:divBdr>
    </w:div>
    <w:div w:id="186604006">
      <w:bodyDiv w:val="1"/>
      <w:marLeft w:val="0"/>
      <w:marRight w:val="0"/>
      <w:marTop w:val="0"/>
      <w:marBottom w:val="0"/>
      <w:divBdr>
        <w:top w:val="none" w:sz="0" w:space="0" w:color="auto"/>
        <w:left w:val="none" w:sz="0" w:space="0" w:color="auto"/>
        <w:bottom w:val="none" w:sz="0" w:space="0" w:color="auto"/>
        <w:right w:val="none" w:sz="0" w:space="0" w:color="auto"/>
      </w:divBdr>
    </w:div>
    <w:div w:id="232587717">
      <w:bodyDiv w:val="1"/>
      <w:marLeft w:val="0"/>
      <w:marRight w:val="0"/>
      <w:marTop w:val="0"/>
      <w:marBottom w:val="0"/>
      <w:divBdr>
        <w:top w:val="none" w:sz="0" w:space="0" w:color="auto"/>
        <w:left w:val="none" w:sz="0" w:space="0" w:color="auto"/>
        <w:bottom w:val="none" w:sz="0" w:space="0" w:color="auto"/>
        <w:right w:val="none" w:sz="0" w:space="0" w:color="auto"/>
      </w:divBdr>
    </w:div>
    <w:div w:id="239754628">
      <w:bodyDiv w:val="1"/>
      <w:marLeft w:val="0"/>
      <w:marRight w:val="0"/>
      <w:marTop w:val="0"/>
      <w:marBottom w:val="0"/>
      <w:divBdr>
        <w:top w:val="none" w:sz="0" w:space="0" w:color="auto"/>
        <w:left w:val="none" w:sz="0" w:space="0" w:color="auto"/>
        <w:bottom w:val="none" w:sz="0" w:space="0" w:color="auto"/>
        <w:right w:val="none" w:sz="0" w:space="0" w:color="auto"/>
      </w:divBdr>
    </w:div>
    <w:div w:id="248075750">
      <w:bodyDiv w:val="1"/>
      <w:marLeft w:val="0"/>
      <w:marRight w:val="0"/>
      <w:marTop w:val="0"/>
      <w:marBottom w:val="0"/>
      <w:divBdr>
        <w:top w:val="none" w:sz="0" w:space="0" w:color="auto"/>
        <w:left w:val="none" w:sz="0" w:space="0" w:color="auto"/>
        <w:bottom w:val="none" w:sz="0" w:space="0" w:color="auto"/>
        <w:right w:val="none" w:sz="0" w:space="0" w:color="auto"/>
      </w:divBdr>
    </w:div>
    <w:div w:id="250745427">
      <w:bodyDiv w:val="1"/>
      <w:marLeft w:val="0"/>
      <w:marRight w:val="0"/>
      <w:marTop w:val="0"/>
      <w:marBottom w:val="0"/>
      <w:divBdr>
        <w:top w:val="none" w:sz="0" w:space="0" w:color="auto"/>
        <w:left w:val="none" w:sz="0" w:space="0" w:color="auto"/>
        <w:bottom w:val="none" w:sz="0" w:space="0" w:color="auto"/>
        <w:right w:val="none" w:sz="0" w:space="0" w:color="auto"/>
      </w:divBdr>
    </w:div>
    <w:div w:id="253898455">
      <w:bodyDiv w:val="1"/>
      <w:marLeft w:val="0"/>
      <w:marRight w:val="0"/>
      <w:marTop w:val="0"/>
      <w:marBottom w:val="0"/>
      <w:divBdr>
        <w:top w:val="none" w:sz="0" w:space="0" w:color="auto"/>
        <w:left w:val="none" w:sz="0" w:space="0" w:color="auto"/>
        <w:bottom w:val="none" w:sz="0" w:space="0" w:color="auto"/>
        <w:right w:val="none" w:sz="0" w:space="0" w:color="auto"/>
      </w:divBdr>
    </w:div>
    <w:div w:id="257106681">
      <w:bodyDiv w:val="1"/>
      <w:marLeft w:val="0"/>
      <w:marRight w:val="0"/>
      <w:marTop w:val="0"/>
      <w:marBottom w:val="0"/>
      <w:divBdr>
        <w:top w:val="none" w:sz="0" w:space="0" w:color="auto"/>
        <w:left w:val="none" w:sz="0" w:space="0" w:color="auto"/>
        <w:bottom w:val="none" w:sz="0" w:space="0" w:color="auto"/>
        <w:right w:val="none" w:sz="0" w:space="0" w:color="auto"/>
      </w:divBdr>
    </w:div>
    <w:div w:id="279843517">
      <w:bodyDiv w:val="1"/>
      <w:marLeft w:val="0"/>
      <w:marRight w:val="0"/>
      <w:marTop w:val="0"/>
      <w:marBottom w:val="0"/>
      <w:divBdr>
        <w:top w:val="none" w:sz="0" w:space="0" w:color="auto"/>
        <w:left w:val="none" w:sz="0" w:space="0" w:color="auto"/>
        <w:bottom w:val="none" w:sz="0" w:space="0" w:color="auto"/>
        <w:right w:val="none" w:sz="0" w:space="0" w:color="auto"/>
      </w:divBdr>
    </w:div>
    <w:div w:id="280184735">
      <w:bodyDiv w:val="1"/>
      <w:marLeft w:val="0"/>
      <w:marRight w:val="0"/>
      <w:marTop w:val="0"/>
      <w:marBottom w:val="0"/>
      <w:divBdr>
        <w:top w:val="none" w:sz="0" w:space="0" w:color="auto"/>
        <w:left w:val="none" w:sz="0" w:space="0" w:color="auto"/>
        <w:bottom w:val="none" w:sz="0" w:space="0" w:color="auto"/>
        <w:right w:val="none" w:sz="0" w:space="0" w:color="auto"/>
      </w:divBdr>
    </w:div>
    <w:div w:id="299656054">
      <w:bodyDiv w:val="1"/>
      <w:marLeft w:val="0"/>
      <w:marRight w:val="0"/>
      <w:marTop w:val="0"/>
      <w:marBottom w:val="0"/>
      <w:divBdr>
        <w:top w:val="none" w:sz="0" w:space="0" w:color="auto"/>
        <w:left w:val="none" w:sz="0" w:space="0" w:color="auto"/>
        <w:bottom w:val="none" w:sz="0" w:space="0" w:color="auto"/>
        <w:right w:val="none" w:sz="0" w:space="0" w:color="auto"/>
      </w:divBdr>
    </w:div>
    <w:div w:id="308243839">
      <w:bodyDiv w:val="1"/>
      <w:marLeft w:val="0"/>
      <w:marRight w:val="0"/>
      <w:marTop w:val="0"/>
      <w:marBottom w:val="0"/>
      <w:divBdr>
        <w:top w:val="none" w:sz="0" w:space="0" w:color="auto"/>
        <w:left w:val="none" w:sz="0" w:space="0" w:color="auto"/>
        <w:bottom w:val="none" w:sz="0" w:space="0" w:color="auto"/>
        <w:right w:val="none" w:sz="0" w:space="0" w:color="auto"/>
      </w:divBdr>
    </w:div>
    <w:div w:id="314528073">
      <w:bodyDiv w:val="1"/>
      <w:marLeft w:val="0"/>
      <w:marRight w:val="0"/>
      <w:marTop w:val="0"/>
      <w:marBottom w:val="0"/>
      <w:divBdr>
        <w:top w:val="none" w:sz="0" w:space="0" w:color="auto"/>
        <w:left w:val="none" w:sz="0" w:space="0" w:color="auto"/>
        <w:bottom w:val="none" w:sz="0" w:space="0" w:color="auto"/>
        <w:right w:val="none" w:sz="0" w:space="0" w:color="auto"/>
      </w:divBdr>
    </w:div>
    <w:div w:id="317618949">
      <w:bodyDiv w:val="1"/>
      <w:marLeft w:val="0"/>
      <w:marRight w:val="0"/>
      <w:marTop w:val="0"/>
      <w:marBottom w:val="0"/>
      <w:divBdr>
        <w:top w:val="none" w:sz="0" w:space="0" w:color="auto"/>
        <w:left w:val="none" w:sz="0" w:space="0" w:color="auto"/>
        <w:bottom w:val="none" w:sz="0" w:space="0" w:color="auto"/>
        <w:right w:val="none" w:sz="0" w:space="0" w:color="auto"/>
      </w:divBdr>
    </w:div>
    <w:div w:id="320351541">
      <w:bodyDiv w:val="1"/>
      <w:marLeft w:val="0"/>
      <w:marRight w:val="0"/>
      <w:marTop w:val="0"/>
      <w:marBottom w:val="0"/>
      <w:divBdr>
        <w:top w:val="none" w:sz="0" w:space="0" w:color="auto"/>
        <w:left w:val="none" w:sz="0" w:space="0" w:color="auto"/>
        <w:bottom w:val="none" w:sz="0" w:space="0" w:color="auto"/>
        <w:right w:val="none" w:sz="0" w:space="0" w:color="auto"/>
      </w:divBdr>
    </w:div>
    <w:div w:id="324364395">
      <w:bodyDiv w:val="1"/>
      <w:marLeft w:val="0"/>
      <w:marRight w:val="0"/>
      <w:marTop w:val="0"/>
      <w:marBottom w:val="0"/>
      <w:divBdr>
        <w:top w:val="none" w:sz="0" w:space="0" w:color="auto"/>
        <w:left w:val="none" w:sz="0" w:space="0" w:color="auto"/>
        <w:bottom w:val="none" w:sz="0" w:space="0" w:color="auto"/>
        <w:right w:val="none" w:sz="0" w:space="0" w:color="auto"/>
      </w:divBdr>
    </w:div>
    <w:div w:id="328140972">
      <w:bodyDiv w:val="1"/>
      <w:marLeft w:val="0"/>
      <w:marRight w:val="0"/>
      <w:marTop w:val="0"/>
      <w:marBottom w:val="0"/>
      <w:divBdr>
        <w:top w:val="none" w:sz="0" w:space="0" w:color="auto"/>
        <w:left w:val="none" w:sz="0" w:space="0" w:color="auto"/>
        <w:bottom w:val="none" w:sz="0" w:space="0" w:color="auto"/>
        <w:right w:val="none" w:sz="0" w:space="0" w:color="auto"/>
      </w:divBdr>
    </w:div>
    <w:div w:id="337393532">
      <w:bodyDiv w:val="1"/>
      <w:marLeft w:val="0"/>
      <w:marRight w:val="0"/>
      <w:marTop w:val="0"/>
      <w:marBottom w:val="0"/>
      <w:divBdr>
        <w:top w:val="none" w:sz="0" w:space="0" w:color="auto"/>
        <w:left w:val="none" w:sz="0" w:space="0" w:color="auto"/>
        <w:bottom w:val="none" w:sz="0" w:space="0" w:color="auto"/>
        <w:right w:val="none" w:sz="0" w:space="0" w:color="auto"/>
      </w:divBdr>
    </w:div>
    <w:div w:id="351961072">
      <w:bodyDiv w:val="1"/>
      <w:marLeft w:val="0"/>
      <w:marRight w:val="0"/>
      <w:marTop w:val="0"/>
      <w:marBottom w:val="0"/>
      <w:divBdr>
        <w:top w:val="none" w:sz="0" w:space="0" w:color="auto"/>
        <w:left w:val="none" w:sz="0" w:space="0" w:color="auto"/>
        <w:bottom w:val="none" w:sz="0" w:space="0" w:color="auto"/>
        <w:right w:val="none" w:sz="0" w:space="0" w:color="auto"/>
      </w:divBdr>
    </w:div>
    <w:div w:id="369189164">
      <w:bodyDiv w:val="1"/>
      <w:marLeft w:val="0"/>
      <w:marRight w:val="0"/>
      <w:marTop w:val="0"/>
      <w:marBottom w:val="0"/>
      <w:divBdr>
        <w:top w:val="none" w:sz="0" w:space="0" w:color="auto"/>
        <w:left w:val="none" w:sz="0" w:space="0" w:color="auto"/>
        <w:bottom w:val="none" w:sz="0" w:space="0" w:color="auto"/>
        <w:right w:val="none" w:sz="0" w:space="0" w:color="auto"/>
      </w:divBdr>
    </w:div>
    <w:div w:id="369500826">
      <w:bodyDiv w:val="1"/>
      <w:marLeft w:val="0"/>
      <w:marRight w:val="0"/>
      <w:marTop w:val="0"/>
      <w:marBottom w:val="0"/>
      <w:divBdr>
        <w:top w:val="none" w:sz="0" w:space="0" w:color="auto"/>
        <w:left w:val="none" w:sz="0" w:space="0" w:color="auto"/>
        <w:bottom w:val="none" w:sz="0" w:space="0" w:color="auto"/>
        <w:right w:val="none" w:sz="0" w:space="0" w:color="auto"/>
      </w:divBdr>
    </w:div>
    <w:div w:id="388267523">
      <w:bodyDiv w:val="1"/>
      <w:marLeft w:val="0"/>
      <w:marRight w:val="0"/>
      <w:marTop w:val="0"/>
      <w:marBottom w:val="0"/>
      <w:divBdr>
        <w:top w:val="none" w:sz="0" w:space="0" w:color="auto"/>
        <w:left w:val="none" w:sz="0" w:space="0" w:color="auto"/>
        <w:bottom w:val="none" w:sz="0" w:space="0" w:color="auto"/>
        <w:right w:val="none" w:sz="0" w:space="0" w:color="auto"/>
      </w:divBdr>
    </w:div>
    <w:div w:id="397823880">
      <w:bodyDiv w:val="1"/>
      <w:marLeft w:val="0"/>
      <w:marRight w:val="0"/>
      <w:marTop w:val="0"/>
      <w:marBottom w:val="0"/>
      <w:divBdr>
        <w:top w:val="none" w:sz="0" w:space="0" w:color="auto"/>
        <w:left w:val="none" w:sz="0" w:space="0" w:color="auto"/>
        <w:bottom w:val="none" w:sz="0" w:space="0" w:color="auto"/>
        <w:right w:val="none" w:sz="0" w:space="0" w:color="auto"/>
      </w:divBdr>
    </w:div>
    <w:div w:id="399906009">
      <w:bodyDiv w:val="1"/>
      <w:marLeft w:val="0"/>
      <w:marRight w:val="0"/>
      <w:marTop w:val="0"/>
      <w:marBottom w:val="0"/>
      <w:divBdr>
        <w:top w:val="none" w:sz="0" w:space="0" w:color="auto"/>
        <w:left w:val="none" w:sz="0" w:space="0" w:color="auto"/>
        <w:bottom w:val="none" w:sz="0" w:space="0" w:color="auto"/>
        <w:right w:val="none" w:sz="0" w:space="0" w:color="auto"/>
      </w:divBdr>
    </w:div>
    <w:div w:id="406610183">
      <w:bodyDiv w:val="1"/>
      <w:marLeft w:val="0"/>
      <w:marRight w:val="0"/>
      <w:marTop w:val="0"/>
      <w:marBottom w:val="0"/>
      <w:divBdr>
        <w:top w:val="none" w:sz="0" w:space="0" w:color="auto"/>
        <w:left w:val="none" w:sz="0" w:space="0" w:color="auto"/>
        <w:bottom w:val="none" w:sz="0" w:space="0" w:color="auto"/>
        <w:right w:val="none" w:sz="0" w:space="0" w:color="auto"/>
      </w:divBdr>
    </w:div>
    <w:div w:id="417290620">
      <w:bodyDiv w:val="1"/>
      <w:marLeft w:val="0"/>
      <w:marRight w:val="0"/>
      <w:marTop w:val="0"/>
      <w:marBottom w:val="0"/>
      <w:divBdr>
        <w:top w:val="none" w:sz="0" w:space="0" w:color="auto"/>
        <w:left w:val="none" w:sz="0" w:space="0" w:color="auto"/>
        <w:bottom w:val="none" w:sz="0" w:space="0" w:color="auto"/>
        <w:right w:val="none" w:sz="0" w:space="0" w:color="auto"/>
      </w:divBdr>
    </w:div>
    <w:div w:id="424543529">
      <w:bodyDiv w:val="1"/>
      <w:marLeft w:val="0"/>
      <w:marRight w:val="0"/>
      <w:marTop w:val="0"/>
      <w:marBottom w:val="0"/>
      <w:divBdr>
        <w:top w:val="none" w:sz="0" w:space="0" w:color="auto"/>
        <w:left w:val="none" w:sz="0" w:space="0" w:color="auto"/>
        <w:bottom w:val="none" w:sz="0" w:space="0" w:color="auto"/>
        <w:right w:val="none" w:sz="0" w:space="0" w:color="auto"/>
      </w:divBdr>
    </w:div>
    <w:div w:id="440564107">
      <w:bodyDiv w:val="1"/>
      <w:marLeft w:val="0"/>
      <w:marRight w:val="0"/>
      <w:marTop w:val="0"/>
      <w:marBottom w:val="0"/>
      <w:divBdr>
        <w:top w:val="none" w:sz="0" w:space="0" w:color="auto"/>
        <w:left w:val="none" w:sz="0" w:space="0" w:color="auto"/>
        <w:bottom w:val="none" w:sz="0" w:space="0" w:color="auto"/>
        <w:right w:val="none" w:sz="0" w:space="0" w:color="auto"/>
      </w:divBdr>
    </w:div>
    <w:div w:id="458961340">
      <w:bodyDiv w:val="1"/>
      <w:marLeft w:val="0"/>
      <w:marRight w:val="0"/>
      <w:marTop w:val="0"/>
      <w:marBottom w:val="0"/>
      <w:divBdr>
        <w:top w:val="none" w:sz="0" w:space="0" w:color="auto"/>
        <w:left w:val="none" w:sz="0" w:space="0" w:color="auto"/>
        <w:bottom w:val="none" w:sz="0" w:space="0" w:color="auto"/>
        <w:right w:val="none" w:sz="0" w:space="0" w:color="auto"/>
      </w:divBdr>
    </w:div>
    <w:div w:id="489178099">
      <w:bodyDiv w:val="1"/>
      <w:marLeft w:val="0"/>
      <w:marRight w:val="0"/>
      <w:marTop w:val="0"/>
      <w:marBottom w:val="0"/>
      <w:divBdr>
        <w:top w:val="none" w:sz="0" w:space="0" w:color="auto"/>
        <w:left w:val="none" w:sz="0" w:space="0" w:color="auto"/>
        <w:bottom w:val="none" w:sz="0" w:space="0" w:color="auto"/>
        <w:right w:val="none" w:sz="0" w:space="0" w:color="auto"/>
      </w:divBdr>
    </w:div>
    <w:div w:id="492792826">
      <w:bodyDiv w:val="1"/>
      <w:marLeft w:val="0"/>
      <w:marRight w:val="0"/>
      <w:marTop w:val="0"/>
      <w:marBottom w:val="0"/>
      <w:divBdr>
        <w:top w:val="none" w:sz="0" w:space="0" w:color="auto"/>
        <w:left w:val="none" w:sz="0" w:space="0" w:color="auto"/>
        <w:bottom w:val="none" w:sz="0" w:space="0" w:color="auto"/>
        <w:right w:val="none" w:sz="0" w:space="0" w:color="auto"/>
      </w:divBdr>
    </w:div>
    <w:div w:id="507598790">
      <w:bodyDiv w:val="1"/>
      <w:marLeft w:val="0"/>
      <w:marRight w:val="0"/>
      <w:marTop w:val="0"/>
      <w:marBottom w:val="0"/>
      <w:divBdr>
        <w:top w:val="none" w:sz="0" w:space="0" w:color="auto"/>
        <w:left w:val="none" w:sz="0" w:space="0" w:color="auto"/>
        <w:bottom w:val="none" w:sz="0" w:space="0" w:color="auto"/>
        <w:right w:val="none" w:sz="0" w:space="0" w:color="auto"/>
      </w:divBdr>
    </w:div>
    <w:div w:id="517279104">
      <w:bodyDiv w:val="1"/>
      <w:marLeft w:val="0"/>
      <w:marRight w:val="0"/>
      <w:marTop w:val="0"/>
      <w:marBottom w:val="0"/>
      <w:divBdr>
        <w:top w:val="none" w:sz="0" w:space="0" w:color="auto"/>
        <w:left w:val="none" w:sz="0" w:space="0" w:color="auto"/>
        <w:bottom w:val="none" w:sz="0" w:space="0" w:color="auto"/>
        <w:right w:val="none" w:sz="0" w:space="0" w:color="auto"/>
      </w:divBdr>
    </w:div>
    <w:div w:id="524904283">
      <w:bodyDiv w:val="1"/>
      <w:marLeft w:val="0"/>
      <w:marRight w:val="0"/>
      <w:marTop w:val="0"/>
      <w:marBottom w:val="0"/>
      <w:divBdr>
        <w:top w:val="none" w:sz="0" w:space="0" w:color="auto"/>
        <w:left w:val="none" w:sz="0" w:space="0" w:color="auto"/>
        <w:bottom w:val="none" w:sz="0" w:space="0" w:color="auto"/>
        <w:right w:val="none" w:sz="0" w:space="0" w:color="auto"/>
      </w:divBdr>
    </w:div>
    <w:div w:id="536430239">
      <w:bodyDiv w:val="1"/>
      <w:marLeft w:val="0"/>
      <w:marRight w:val="0"/>
      <w:marTop w:val="0"/>
      <w:marBottom w:val="0"/>
      <w:divBdr>
        <w:top w:val="none" w:sz="0" w:space="0" w:color="auto"/>
        <w:left w:val="none" w:sz="0" w:space="0" w:color="auto"/>
        <w:bottom w:val="none" w:sz="0" w:space="0" w:color="auto"/>
        <w:right w:val="none" w:sz="0" w:space="0" w:color="auto"/>
      </w:divBdr>
    </w:div>
    <w:div w:id="564995470">
      <w:bodyDiv w:val="1"/>
      <w:marLeft w:val="0"/>
      <w:marRight w:val="0"/>
      <w:marTop w:val="0"/>
      <w:marBottom w:val="0"/>
      <w:divBdr>
        <w:top w:val="none" w:sz="0" w:space="0" w:color="auto"/>
        <w:left w:val="none" w:sz="0" w:space="0" w:color="auto"/>
        <w:bottom w:val="none" w:sz="0" w:space="0" w:color="auto"/>
        <w:right w:val="none" w:sz="0" w:space="0" w:color="auto"/>
      </w:divBdr>
    </w:div>
    <w:div w:id="581068146">
      <w:bodyDiv w:val="1"/>
      <w:marLeft w:val="0"/>
      <w:marRight w:val="0"/>
      <w:marTop w:val="0"/>
      <w:marBottom w:val="0"/>
      <w:divBdr>
        <w:top w:val="none" w:sz="0" w:space="0" w:color="auto"/>
        <w:left w:val="none" w:sz="0" w:space="0" w:color="auto"/>
        <w:bottom w:val="none" w:sz="0" w:space="0" w:color="auto"/>
        <w:right w:val="none" w:sz="0" w:space="0" w:color="auto"/>
      </w:divBdr>
    </w:div>
    <w:div w:id="583224377">
      <w:bodyDiv w:val="1"/>
      <w:marLeft w:val="0"/>
      <w:marRight w:val="0"/>
      <w:marTop w:val="0"/>
      <w:marBottom w:val="0"/>
      <w:divBdr>
        <w:top w:val="none" w:sz="0" w:space="0" w:color="auto"/>
        <w:left w:val="none" w:sz="0" w:space="0" w:color="auto"/>
        <w:bottom w:val="none" w:sz="0" w:space="0" w:color="auto"/>
        <w:right w:val="none" w:sz="0" w:space="0" w:color="auto"/>
      </w:divBdr>
    </w:div>
    <w:div w:id="589774275">
      <w:bodyDiv w:val="1"/>
      <w:marLeft w:val="0"/>
      <w:marRight w:val="0"/>
      <w:marTop w:val="0"/>
      <w:marBottom w:val="0"/>
      <w:divBdr>
        <w:top w:val="none" w:sz="0" w:space="0" w:color="auto"/>
        <w:left w:val="none" w:sz="0" w:space="0" w:color="auto"/>
        <w:bottom w:val="none" w:sz="0" w:space="0" w:color="auto"/>
        <w:right w:val="none" w:sz="0" w:space="0" w:color="auto"/>
      </w:divBdr>
    </w:div>
    <w:div w:id="607279885">
      <w:bodyDiv w:val="1"/>
      <w:marLeft w:val="0"/>
      <w:marRight w:val="0"/>
      <w:marTop w:val="0"/>
      <w:marBottom w:val="0"/>
      <w:divBdr>
        <w:top w:val="none" w:sz="0" w:space="0" w:color="auto"/>
        <w:left w:val="none" w:sz="0" w:space="0" w:color="auto"/>
        <w:bottom w:val="none" w:sz="0" w:space="0" w:color="auto"/>
        <w:right w:val="none" w:sz="0" w:space="0" w:color="auto"/>
      </w:divBdr>
    </w:div>
    <w:div w:id="608705051">
      <w:bodyDiv w:val="1"/>
      <w:marLeft w:val="0"/>
      <w:marRight w:val="0"/>
      <w:marTop w:val="0"/>
      <w:marBottom w:val="0"/>
      <w:divBdr>
        <w:top w:val="none" w:sz="0" w:space="0" w:color="auto"/>
        <w:left w:val="none" w:sz="0" w:space="0" w:color="auto"/>
        <w:bottom w:val="none" w:sz="0" w:space="0" w:color="auto"/>
        <w:right w:val="none" w:sz="0" w:space="0" w:color="auto"/>
      </w:divBdr>
    </w:div>
    <w:div w:id="609318329">
      <w:bodyDiv w:val="1"/>
      <w:marLeft w:val="0"/>
      <w:marRight w:val="0"/>
      <w:marTop w:val="0"/>
      <w:marBottom w:val="0"/>
      <w:divBdr>
        <w:top w:val="none" w:sz="0" w:space="0" w:color="auto"/>
        <w:left w:val="none" w:sz="0" w:space="0" w:color="auto"/>
        <w:bottom w:val="none" w:sz="0" w:space="0" w:color="auto"/>
        <w:right w:val="none" w:sz="0" w:space="0" w:color="auto"/>
      </w:divBdr>
    </w:div>
    <w:div w:id="613289895">
      <w:bodyDiv w:val="1"/>
      <w:marLeft w:val="0"/>
      <w:marRight w:val="0"/>
      <w:marTop w:val="0"/>
      <w:marBottom w:val="0"/>
      <w:divBdr>
        <w:top w:val="none" w:sz="0" w:space="0" w:color="auto"/>
        <w:left w:val="none" w:sz="0" w:space="0" w:color="auto"/>
        <w:bottom w:val="none" w:sz="0" w:space="0" w:color="auto"/>
        <w:right w:val="none" w:sz="0" w:space="0" w:color="auto"/>
      </w:divBdr>
    </w:div>
    <w:div w:id="618071154">
      <w:bodyDiv w:val="1"/>
      <w:marLeft w:val="0"/>
      <w:marRight w:val="0"/>
      <w:marTop w:val="0"/>
      <w:marBottom w:val="0"/>
      <w:divBdr>
        <w:top w:val="none" w:sz="0" w:space="0" w:color="auto"/>
        <w:left w:val="none" w:sz="0" w:space="0" w:color="auto"/>
        <w:bottom w:val="none" w:sz="0" w:space="0" w:color="auto"/>
        <w:right w:val="none" w:sz="0" w:space="0" w:color="auto"/>
      </w:divBdr>
    </w:div>
    <w:div w:id="622034651">
      <w:bodyDiv w:val="1"/>
      <w:marLeft w:val="0"/>
      <w:marRight w:val="0"/>
      <w:marTop w:val="0"/>
      <w:marBottom w:val="0"/>
      <w:divBdr>
        <w:top w:val="none" w:sz="0" w:space="0" w:color="auto"/>
        <w:left w:val="none" w:sz="0" w:space="0" w:color="auto"/>
        <w:bottom w:val="none" w:sz="0" w:space="0" w:color="auto"/>
        <w:right w:val="none" w:sz="0" w:space="0" w:color="auto"/>
      </w:divBdr>
    </w:div>
    <w:div w:id="623275440">
      <w:bodyDiv w:val="1"/>
      <w:marLeft w:val="0"/>
      <w:marRight w:val="0"/>
      <w:marTop w:val="0"/>
      <w:marBottom w:val="0"/>
      <w:divBdr>
        <w:top w:val="none" w:sz="0" w:space="0" w:color="auto"/>
        <w:left w:val="none" w:sz="0" w:space="0" w:color="auto"/>
        <w:bottom w:val="none" w:sz="0" w:space="0" w:color="auto"/>
        <w:right w:val="none" w:sz="0" w:space="0" w:color="auto"/>
      </w:divBdr>
    </w:div>
    <w:div w:id="623275841">
      <w:bodyDiv w:val="1"/>
      <w:marLeft w:val="0"/>
      <w:marRight w:val="0"/>
      <w:marTop w:val="0"/>
      <w:marBottom w:val="0"/>
      <w:divBdr>
        <w:top w:val="none" w:sz="0" w:space="0" w:color="auto"/>
        <w:left w:val="none" w:sz="0" w:space="0" w:color="auto"/>
        <w:bottom w:val="none" w:sz="0" w:space="0" w:color="auto"/>
        <w:right w:val="none" w:sz="0" w:space="0" w:color="auto"/>
      </w:divBdr>
    </w:div>
    <w:div w:id="640040268">
      <w:bodyDiv w:val="1"/>
      <w:marLeft w:val="0"/>
      <w:marRight w:val="0"/>
      <w:marTop w:val="0"/>
      <w:marBottom w:val="0"/>
      <w:divBdr>
        <w:top w:val="none" w:sz="0" w:space="0" w:color="auto"/>
        <w:left w:val="none" w:sz="0" w:space="0" w:color="auto"/>
        <w:bottom w:val="none" w:sz="0" w:space="0" w:color="auto"/>
        <w:right w:val="none" w:sz="0" w:space="0" w:color="auto"/>
      </w:divBdr>
    </w:div>
    <w:div w:id="643194760">
      <w:bodyDiv w:val="1"/>
      <w:marLeft w:val="0"/>
      <w:marRight w:val="0"/>
      <w:marTop w:val="0"/>
      <w:marBottom w:val="0"/>
      <w:divBdr>
        <w:top w:val="none" w:sz="0" w:space="0" w:color="auto"/>
        <w:left w:val="none" w:sz="0" w:space="0" w:color="auto"/>
        <w:bottom w:val="none" w:sz="0" w:space="0" w:color="auto"/>
        <w:right w:val="none" w:sz="0" w:space="0" w:color="auto"/>
      </w:divBdr>
    </w:div>
    <w:div w:id="648168041">
      <w:bodyDiv w:val="1"/>
      <w:marLeft w:val="0"/>
      <w:marRight w:val="0"/>
      <w:marTop w:val="0"/>
      <w:marBottom w:val="0"/>
      <w:divBdr>
        <w:top w:val="none" w:sz="0" w:space="0" w:color="auto"/>
        <w:left w:val="none" w:sz="0" w:space="0" w:color="auto"/>
        <w:bottom w:val="none" w:sz="0" w:space="0" w:color="auto"/>
        <w:right w:val="none" w:sz="0" w:space="0" w:color="auto"/>
      </w:divBdr>
    </w:div>
    <w:div w:id="660810564">
      <w:bodyDiv w:val="1"/>
      <w:marLeft w:val="0"/>
      <w:marRight w:val="0"/>
      <w:marTop w:val="0"/>
      <w:marBottom w:val="0"/>
      <w:divBdr>
        <w:top w:val="none" w:sz="0" w:space="0" w:color="auto"/>
        <w:left w:val="none" w:sz="0" w:space="0" w:color="auto"/>
        <w:bottom w:val="none" w:sz="0" w:space="0" w:color="auto"/>
        <w:right w:val="none" w:sz="0" w:space="0" w:color="auto"/>
      </w:divBdr>
    </w:div>
    <w:div w:id="669600904">
      <w:bodyDiv w:val="1"/>
      <w:marLeft w:val="0"/>
      <w:marRight w:val="0"/>
      <w:marTop w:val="0"/>
      <w:marBottom w:val="0"/>
      <w:divBdr>
        <w:top w:val="none" w:sz="0" w:space="0" w:color="auto"/>
        <w:left w:val="none" w:sz="0" w:space="0" w:color="auto"/>
        <w:bottom w:val="none" w:sz="0" w:space="0" w:color="auto"/>
        <w:right w:val="none" w:sz="0" w:space="0" w:color="auto"/>
      </w:divBdr>
    </w:div>
    <w:div w:id="671493717">
      <w:bodyDiv w:val="1"/>
      <w:marLeft w:val="0"/>
      <w:marRight w:val="0"/>
      <w:marTop w:val="0"/>
      <w:marBottom w:val="0"/>
      <w:divBdr>
        <w:top w:val="none" w:sz="0" w:space="0" w:color="auto"/>
        <w:left w:val="none" w:sz="0" w:space="0" w:color="auto"/>
        <w:bottom w:val="none" w:sz="0" w:space="0" w:color="auto"/>
        <w:right w:val="none" w:sz="0" w:space="0" w:color="auto"/>
      </w:divBdr>
    </w:div>
    <w:div w:id="679239130">
      <w:bodyDiv w:val="1"/>
      <w:marLeft w:val="0"/>
      <w:marRight w:val="0"/>
      <w:marTop w:val="0"/>
      <w:marBottom w:val="0"/>
      <w:divBdr>
        <w:top w:val="none" w:sz="0" w:space="0" w:color="auto"/>
        <w:left w:val="none" w:sz="0" w:space="0" w:color="auto"/>
        <w:bottom w:val="none" w:sz="0" w:space="0" w:color="auto"/>
        <w:right w:val="none" w:sz="0" w:space="0" w:color="auto"/>
      </w:divBdr>
    </w:div>
    <w:div w:id="684746824">
      <w:bodyDiv w:val="1"/>
      <w:marLeft w:val="0"/>
      <w:marRight w:val="0"/>
      <w:marTop w:val="0"/>
      <w:marBottom w:val="0"/>
      <w:divBdr>
        <w:top w:val="none" w:sz="0" w:space="0" w:color="auto"/>
        <w:left w:val="none" w:sz="0" w:space="0" w:color="auto"/>
        <w:bottom w:val="none" w:sz="0" w:space="0" w:color="auto"/>
        <w:right w:val="none" w:sz="0" w:space="0" w:color="auto"/>
      </w:divBdr>
    </w:div>
    <w:div w:id="702901573">
      <w:bodyDiv w:val="1"/>
      <w:marLeft w:val="0"/>
      <w:marRight w:val="0"/>
      <w:marTop w:val="0"/>
      <w:marBottom w:val="0"/>
      <w:divBdr>
        <w:top w:val="none" w:sz="0" w:space="0" w:color="auto"/>
        <w:left w:val="none" w:sz="0" w:space="0" w:color="auto"/>
        <w:bottom w:val="none" w:sz="0" w:space="0" w:color="auto"/>
        <w:right w:val="none" w:sz="0" w:space="0" w:color="auto"/>
      </w:divBdr>
    </w:div>
    <w:div w:id="725105496">
      <w:bodyDiv w:val="1"/>
      <w:marLeft w:val="0"/>
      <w:marRight w:val="0"/>
      <w:marTop w:val="0"/>
      <w:marBottom w:val="0"/>
      <w:divBdr>
        <w:top w:val="none" w:sz="0" w:space="0" w:color="auto"/>
        <w:left w:val="none" w:sz="0" w:space="0" w:color="auto"/>
        <w:bottom w:val="none" w:sz="0" w:space="0" w:color="auto"/>
        <w:right w:val="none" w:sz="0" w:space="0" w:color="auto"/>
      </w:divBdr>
    </w:div>
    <w:div w:id="725952521">
      <w:bodyDiv w:val="1"/>
      <w:marLeft w:val="0"/>
      <w:marRight w:val="0"/>
      <w:marTop w:val="0"/>
      <w:marBottom w:val="0"/>
      <w:divBdr>
        <w:top w:val="none" w:sz="0" w:space="0" w:color="auto"/>
        <w:left w:val="none" w:sz="0" w:space="0" w:color="auto"/>
        <w:bottom w:val="none" w:sz="0" w:space="0" w:color="auto"/>
        <w:right w:val="none" w:sz="0" w:space="0" w:color="auto"/>
      </w:divBdr>
    </w:div>
    <w:div w:id="737169208">
      <w:bodyDiv w:val="1"/>
      <w:marLeft w:val="0"/>
      <w:marRight w:val="0"/>
      <w:marTop w:val="0"/>
      <w:marBottom w:val="0"/>
      <w:divBdr>
        <w:top w:val="none" w:sz="0" w:space="0" w:color="auto"/>
        <w:left w:val="none" w:sz="0" w:space="0" w:color="auto"/>
        <w:bottom w:val="none" w:sz="0" w:space="0" w:color="auto"/>
        <w:right w:val="none" w:sz="0" w:space="0" w:color="auto"/>
      </w:divBdr>
    </w:div>
    <w:div w:id="739593079">
      <w:bodyDiv w:val="1"/>
      <w:marLeft w:val="0"/>
      <w:marRight w:val="0"/>
      <w:marTop w:val="0"/>
      <w:marBottom w:val="0"/>
      <w:divBdr>
        <w:top w:val="none" w:sz="0" w:space="0" w:color="auto"/>
        <w:left w:val="none" w:sz="0" w:space="0" w:color="auto"/>
        <w:bottom w:val="none" w:sz="0" w:space="0" w:color="auto"/>
        <w:right w:val="none" w:sz="0" w:space="0" w:color="auto"/>
      </w:divBdr>
    </w:div>
    <w:div w:id="741370271">
      <w:bodyDiv w:val="1"/>
      <w:marLeft w:val="0"/>
      <w:marRight w:val="0"/>
      <w:marTop w:val="0"/>
      <w:marBottom w:val="0"/>
      <w:divBdr>
        <w:top w:val="none" w:sz="0" w:space="0" w:color="auto"/>
        <w:left w:val="none" w:sz="0" w:space="0" w:color="auto"/>
        <w:bottom w:val="none" w:sz="0" w:space="0" w:color="auto"/>
        <w:right w:val="none" w:sz="0" w:space="0" w:color="auto"/>
      </w:divBdr>
    </w:div>
    <w:div w:id="744449254">
      <w:bodyDiv w:val="1"/>
      <w:marLeft w:val="0"/>
      <w:marRight w:val="0"/>
      <w:marTop w:val="0"/>
      <w:marBottom w:val="0"/>
      <w:divBdr>
        <w:top w:val="none" w:sz="0" w:space="0" w:color="auto"/>
        <w:left w:val="none" w:sz="0" w:space="0" w:color="auto"/>
        <w:bottom w:val="none" w:sz="0" w:space="0" w:color="auto"/>
        <w:right w:val="none" w:sz="0" w:space="0" w:color="auto"/>
      </w:divBdr>
    </w:div>
    <w:div w:id="760031139">
      <w:bodyDiv w:val="1"/>
      <w:marLeft w:val="0"/>
      <w:marRight w:val="0"/>
      <w:marTop w:val="0"/>
      <w:marBottom w:val="0"/>
      <w:divBdr>
        <w:top w:val="none" w:sz="0" w:space="0" w:color="auto"/>
        <w:left w:val="none" w:sz="0" w:space="0" w:color="auto"/>
        <w:bottom w:val="none" w:sz="0" w:space="0" w:color="auto"/>
        <w:right w:val="none" w:sz="0" w:space="0" w:color="auto"/>
      </w:divBdr>
    </w:div>
    <w:div w:id="760835129">
      <w:bodyDiv w:val="1"/>
      <w:marLeft w:val="0"/>
      <w:marRight w:val="0"/>
      <w:marTop w:val="0"/>
      <w:marBottom w:val="0"/>
      <w:divBdr>
        <w:top w:val="none" w:sz="0" w:space="0" w:color="auto"/>
        <w:left w:val="none" w:sz="0" w:space="0" w:color="auto"/>
        <w:bottom w:val="none" w:sz="0" w:space="0" w:color="auto"/>
        <w:right w:val="none" w:sz="0" w:space="0" w:color="auto"/>
      </w:divBdr>
    </w:div>
    <w:div w:id="766314393">
      <w:bodyDiv w:val="1"/>
      <w:marLeft w:val="0"/>
      <w:marRight w:val="0"/>
      <w:marTop w:val="0"/>
      <w:marBottom w:val="0"/>
      <w:divBdr>
        <w:top w:val="none" w:sz="0" w:space="0" w:color="auto"/>
        <w:left w:val="none" w:sz="0" w:space="0" w:color="auto"/>
        <w:bottom w:val="none" w:sz="0" w:space="0" w:color="auto"/>
        <w:right w:val="none" w:sz="0" w:space="0" w:color="auto"/>
      </w:divBdr>
    </w:div>
    <w:div w:id="772164505">
      <w:bodyDiv w:val="1"/>
      <w:marLeft w:val="0"/>
      <w:marRight w:val="0"/>
      <w:marTop w:val="0"/>
      <w:marBottom w:val="0"/>
      <w:divBdr>
        <w:top w:val="none" w:sz="0" w:space="0" w:color="auto"/>
        <w:left w:val="none" w:sz="0" w:space="0" w:color="auto"/>
        <w:bottom w:val="none" w:sz="0" w:space="0" w:color="auto"/>
        <w:right w:val="none" w:sz="0" w:space="0" w:color="auto"/>
      </w:divBdr>
    </w:div>
    <w:div w:id="776172248">
      <w:bodyDiv w:val="1"/>
      <w:marLeft w:val="0"/>
      <w:marRight w:val="0"/>
      <w:marTop w:val="0"/>
      <w:marBottom w:val="0"/>
      <w:divBdr>
        <w:top w:val="none" w:sz="0" w:space="0" w:color="auto"/>
        <w:left w:val="none" w:sz="0" w:space="0" w:color="auto"/>
        <w:bottom w:val="none" w:sz="0" w:space="0" w:color="auto"/>
        <w:right w:val="none" w:sz="0" w:space="0" w:color="auto"/>
      </w:divBdr>
    </w:div>
    <w:div w:id="778912386">
      <w:bodyDiv w:val="1"/>
      <w:marLeft w:val="0"/>
      <w:marRight w:val="0"/>
      <w:marTop w:val="0"/>
      <w:marBottom w:val="0"/>
      <w:divBdr>
        <w:top w:val="none" w:sz="0" w:space="0" w:color="auto"/>
        <w:left w:val="none" w:sz="0" w:space="0" w:color="auto"/>
        <w:bottom w:val="none" w:sz="0" w:space="0" w:color="auto"/>
        <w:right w:val="none" w:sz="0" w:space="0" w:color="auto"/>
      </w:divBdr>
    </w:div>
    <w:div w:id="790711464">
      <w:bodyDiv w:val="1"/>
      <w:marLeft w:val="0"/>
      <w:marRight w:val="0"/>
      <w:marTop w:val="0"/>
      <w:marBottom w:val="0"/>
      <w:divBdr>
        <w:top w:val="none" w:sz="0" w:space="0" w:color="auto"/>
        <w:left w:val="none" w:sz="0" w:space="0" w:color="auto"/>
        <w:bottom w:val="none" w:sz="0" w:space="0" w:color="auto"/>
        <w:right w:val="none" w:sz="0" w:space="0" w:color="auto"/>
      </w:divBdr>
    </w:div>
    <w:div w:id="798374099">
      <w:bodyDiv w:val="1"/>
      <w:marLeft w:val="0"/>
      <w:marRight w:val="0"/>
      <w:marTop w:val="0"/>
      <w:marBottom w:val="0"/>
      <w:divBdr>
        <w:top w:val="none" w:sz="0" w:space="0" w:color="auto"/>
        <w:left w:val="none" w:sz="0" w:space="0" w:color="auto"/>
        <w:bottom w:val="none" w:sz="0" w:space="0" w:color="auto"/>
        <w:right w:val="none" w:sz="0" w:space="0" w:color="auto"/>
      </w:divBdr>
    </w:div>
    <w:div w:id="799304401">
      <w:bodyDiv w:val="1"/>
      <w:marLeft w:val="0"/>
      <w:marRight w:val="0"/>
      <w:marTop w:val="0"/>
      <w:marBottom w:val="0"/>
      <w:divBdr>
        <w:top w:val="none" w:sz="0" w:space="0" w:color="auto"/>
        <w:left w:val="none" w:sz="0" w:space="0" w:color="auto"/>
        <w:bottom w:val="none" w:sz="0" w:space="0" w:color="auto"/>
        <w:right w:val="none" w:sz="0" w:space="0" w:color="auto"/>
      </w:divBdr>
    </w:div>
    <w:div w:id="803816434">
      <w:bodyDiv w:val="1"/>
      <w:marLeft w:val="0"/>
      <w:marRight w:val="0"/>
      <w:marTop w:val="0"/>
      <w:marBottom w:val="0"/>
      <w:divBdr>
        <w:top w:val="none" w:sz="0" w:space="0" w:color="auto"/>
        <w:left w:val="none" w:sz="0" w:space="0" w:color="auto"/>
        <w:bottom w:val="none" w:sz="0" w:space="0" w:color="auto"/>
        <w:right w:val="none" w:sz="0" w:space="0" w:color="auto"/>
      </w:divBdr>
    </w:div>
    <w:div w:id="807283747">
      <w:bodyDiv w:val="1"/>
      <w:marLeft w:val="0"/>
      <w:marRight w:val="0"/>
      <w:marTop w:val="0"/>
      <w:marBottom w:val="0"/>
      <w:divBdr>
        <w:top w:val="none" w:sz="0" w:space="0" w:color="auto"/>
        <w:left w:val="none" w:sz="0" w:space="0" w:color="auto"/>
        <w:bottom w:val="none" w:sz="0" w:space="0" w:color="auto"/>
        <w:right w:val="none" w:sz="0" w:space="0" w:color="auto"/>
      </w:divBdr>
    </w:div>
    <w:div w:id="826357284">
      <w:bodyDiv w:val="1"/>
      <w:marLeft w:val="0"/>
      <w:marRight w:val="0"/>
      <w:marTop w:val="0"/>
      <w:marBottom w:val="0"/>
      <w:divBdr>
        <w:top w:val="none" w:sz="0" w:space="0" w:color="auto"/>
        <w:left w:val="none" w:sz="0" w:space="0" w:color="auto"/>
        <w:bottom w:val="none" w:sz="0" w:space="0" w:color="auto"/>
        <w:right w:val="none" w:sz="0" w:space="0" w:color="auto"/>
      </w:divBdr>
    </w:div>
    <w:div w:id="827746677">
      <w:bodyDiv w:val="1"/>
      <w:marLeft w:val="0"/>
      <w:marRight w:val="0"/>
      <w:marTop w:val="0"/>
      <w:marBottom w:val="0"/>
      <w:divBdr>
        <w:top w:val="none" w:sz="0" w:space="0" w:color="auto"/>
        <w:left w:val="none" w:sz="0" w:space="0" w:color="auto"/>
        <w:bottom w:val="none" w:sz="0" w:space="0" w:color="auto"/>
        <w:right w:val="none" w:sz="0" w:space="0" w:color="auto"/>
      </w:divBdr>
    </w:div>
    <w:div w:id="828133556">
      <w:bodyDiv w:val="1"/>
      <w:marLeft w:val="0"/>
      <w:marRight w:val="0"/>
      <w:marTop w:val="0"/>
      <w:marBottom w:val="0"/>
      <w:divBdr>
        <w:top w:val="none" w:sz="0" w:space="0" w:color="auto"/>
        <w:left w:val="none" w:sz="0" w:space="0" w:color="auto"/>
        <w:bottom w:val="none" w:sz="0" w:space="0" w:color="auto"/>
        <w:right w:val="none" w:sz="0" w:space="0" w:color="auto"/>
      </w:divBdr>
    </w:div>
    <w:div w:id="869149963">
      <w:bodyDiv w:val="1"/>
      <w:marLeft w:val="0"/>
      <w:marRight w:val="0"/>
      <w:marTop w:val="0"/>
      <w:marBottom w:val="0"/>
      <w:divBdr>
        <w:top w:val="none" w:sz="0" w:space="0" w:color="auto"/>
        <w:left w:val="none" w:sz="0" w:space="0" w:color="auto"/>
        <w:bottom w:val="none" w:sz="0" w:space="0" w:color="auto"/>
        <w:right w:val="none" w:sz="0" w:space="0" w:color="auto"/>
      </w:divBdr>
    </w:div>
    <w:div w:id="869874063">
      <w:bodyDiv w:val="1"/>
      <w:marLeft w:val="0"/>
      <w:marRight w:val="0"/>
      <w:marTop w:val="0"/>
      <w:marBottom w:val="0"/>
      <w:divBdr>
        <w:top w:val="none" w:sz="0" w:space="0" w:color="auto"/>
        <w:left w:val="none" w:sz="0" w:space="0" w:color="auto"/>
        <w:bottom w:val="none" w:sz="0" w:space="0" w:color="auto"/>
        <w:right w:val="none" w:sz="0" w:space="0" w:color="auto"/>
      </w:divBdr>
    </w:div>
    <w:div w:id="876700931">
      <w:bodyDiv w:val="1"/>
      <w:marLeft w:val="0"/>
      <w:marRight w:val="0"/>
      <w:marTop w:val="0"/>
      <w:marBottom w:val="0"/>
      <w:divBdr>
        <w:top w:val="none" w:sz="0" w:space="0" w:color="auto"/>
        <w:left w:val="none" w:sz="0" w:space="0" w:color="auto"/>
        <w:bottom w:val="none" w:sz="0" w:space="0" w:color="auto"/>
        <w:right w:val="none" w:sz="0" w:space="0" w:color="auto"/>
      </w:divBdr>
    </w:div>
    <w:div w:id="906843895">
      <w:bodyDiv w:val="1"/>
      <w:marLeft w:val="0"/>
      <w:marRight w:val="0"/>
      <w:marTop w:val="0"/>
      <w:marBottom w:val="0"/>
      <w:divBdr>
        <w:top w:val="none" w:sz="0" w:space="0" w:color="auto"/>
        <w:left w:val="none" w:sz="0" w:space="0" w:color="auto"/>
        <w:bottom w:val="none" w:sz="0" w:space="0" w:color="auto"/>
        <w:right w:val="none" w:sz="0" w:space="0" w:color="auto"/>
      </w:divBdr>
    </w:div>
    <w:div w:id="910315574">
      <w:bodyDiv w:val="1"/>
      <w:marLeft w:val="0"/>
      <w:marRight w:val="0"/>
      <w:marTop w:val="0"/>
      <w:marBottom w:val="0"/>
      <w:divBdr>
        <w:top w:val="none" w:sz="0" w:space="0" w:color="auto"/>
        <w:left w:val="none" w:sz="0" w:space="0" w:color="auto"/>
        <w:bottom w:val="none" w:sz="0" w:space="0" w:color="auto"/>
        <w:right w:val="none" w:sz="0" w:space="0" w:color="auto"/>
      </w:divBdr>
    </w:div>
    <w:div w:id="911426595">
      <w:bodyDiv w:val="1"/>
      <w:marLeft w:val="0"/>
      <w:marRight w:val="0"/>
      <w:marTop w:val="0"/>
      <w:marBottom w:val="0"/>
      <w:divBdr>
        <w:top w:val="none" w:sz="0" w:space="0" w:color="auto"/>
        <w:left w:val="none" w:sz="0" w:space="0" w:color="auto"/>
        <w:bottom w:val="none" w:sz="0" w:space="0" w:color="auto"/>
        <w:right w:val="none" w:sz="0" w:space="0" w:color="auto"/>
      </w:divBdr>
    </w:div>
    <w:div w:id="941497094">
      <w:bodyDiv w:val="1"/>
      <w:marLeft w:val="0"/>
      <w:marRight w:val="0"/>
      <w:marTop w:val="0"/>
      <w:marBottom w:val="0"/>
      <w:divBdr>
        <w:top w:val="none" w:sz="0" w:space="0" w:color="auto"/>
        <w:left w:val="none" w:sz="0" w:space="0" w:color="auto"/>
        <w:bottom w:val="none" w:sz="0" w:space="0" w:color="auto"/>
        <w:right w:val="none" w:sz="0" w:space="0" w:color="auto"/>
      </w:divBdr>
    </w:div>
    <w:div w:id="961306549">
      <w:bodyDiv w:val="1"/>
      <w:marLeft w:val="0"/>
      <w:marRight w:val="0"/>
      <w:marTop w:val="0"/>
      <w:marBottom w:val="0"/>
      <w:divBdr>
        <w:top w:val="none" w:sz="0" w:space="0" w:color="auto"/>
        <w:left w:val="none" w:sz="0" w:space="0" w:color="auto"/>
        <w:bottom w:val="none" w:sz="0" w:space="0" w:color="auto"/>
        <w:right w:val="none" w:sz="0" w:space="0" w:color="auto"/>
      </w:divBdr>
    </w:div>
    <w:div w:id="968828429">
      <w:bodyDiv w:val="1"/>
      <w:marLeft w:val="0"/>
      <w:marRight w:val="0"/>
      <w:marTop w:val="0"/>
      <w:marBottom w:val="0"/>
      <w:divBdr>
        <w:top w:val="none" w:sz="0" w:space="0" w:color="auto"/>
        <w:left w:val="none" w:sz="0" w:space="0" w:color="auto"/>
        <w:bottom w:val="none" w:sz="0" w:space="0" w:color="auto"/>
        <w:right w:val="none" w:sz="0" w:space="0" w:color="auto"/>
      </w:divBdr>
    </w:div>
    <w:div w:id="998270029">
      <w:bodyDiv w:val="1"/>
      <w:marLeft w:val="0"/>
      <w:marRight w:val="0"/>
      <w:marTop w:val="0"/>
      <w:marBottom w:val="0"/>
      <w:divBdr>
        <w:top w:val="none" w:sz="0" w:space="0" w:color="auto"/>
        <w:left w:val="none" w:sz="0" w:space="0" w:color="auto"/>
        <w:bottom w:val="none" w:sz="0" w:space="0" w:color="auto"/>
        <w:right w:val="none" w:sz="0" w:space="0" w:color="auto"/>
      </w:divBdr>
    </w:div>
    <w:div w:id="1024867766">
      <w:bodyDiv w:val="1"/>
      <w:marLeft w:val="0"/>
      <w:marRight w:val="0"/>
      <w:marTop w:val="0"/>
      <w:marBottom w:val="0"/>
      <w:divBdr>
        <w:top w:val="none" w:sz="0" w:space="0" w:color="auto"/>
        <w:left w:val="none" w:sz="0" w:space="0" w:color="auto"/>
        <w:bottom w:val="none" w:sz="0" w:space="0" w:color="auto"/>
        <w:right w:val="none" w:sz="0" w:space="0" w:color="auto"/>
      </w:divBdr>
    </w:div>
    <w:div w:id="1026444614">
      <w:bodyDiv w:val="1"/>
      <w:marLeft w:val="0"/>
      <w:marRight w:val="0"/>
      <w:marTop w:val="0"/>
      <w:marBottom w:val="0"/>
      <w:divBdr>
        <w:top w:val="none" w:sz="0" w:space="0" w:color="auto"/>
        <w:left w:val="none" w:sz="0" w:space="0" w:color="auto"/>
        <w:bottom w:val="none" w:sz="0" w:space="0" w:color="auto"/>
        <w:right w:val="none" w:sz="0" w:space="0" w:color="auto"/>
      </w:divBdr>
    </w:div>
    <w:div w:id="1032269189">
      <w:bodyDiv w:val="1"/>
      <w:marLeft w:val="0"/>
      <w:marRight w:val="0"/>
      <w:marTop w:val="0"/>
      <w:marBottom w:val="0"/>
      <w:divBdr>
        <w:top w:val="none" w:sz="0" w:space="0" w:color="auto"/>
        <w:left w:val="none" w:sz="0" w:space="0" w:color="auto"/>
        <w:bottom w:val="none" w:sz="0" w:space="0" w:color="auto"/>
        <w:right w:val="none" w:sz="0" w:space="0" w:color="auto"/>
      </w:divBdr>
    </w:div>
    <w:div w:id="1048647201">
      <w:bodyDiv w:val="1"/>
      <w:marLeft w:val="0"/>
      <w:marRight w:val="0"/>
      <w:marTop w:val="0"/>
      <w:marBottom w:val="0"/>
      <w:divBdr>
        <w:top w:val="none" w:sz="0" w:space="0" w:color="auto"/>
        <w:left w:val="none" w:sz="0" w:space="0" w:color="auto"/>
        <w:bottom w:val="none" w:sz="0" w:space="0" w:color="auto"/>
        <w:right w:val="none" w:sz="0" w:space="0" w:color="auto"/>
      </w:divBdr>
    </w:div>
    <w:div w:id="1052266590">
      <w:bodyDiv w:val="1"/>
      <w:marLeft w:val="0"/>
      <w:marRight w:val="0"/>
      <w:marTop w:val="0"/>
      <w:marBottom w:val="0"/>
      <w:divBdr>
        <w:top w:val="none" w:sz="0" w:space="0" w:color="auto"/>
        <w:left w:val="none" w:sz="0" w:space="0" w:color="auto"/>
        <w:bottom w:val="none" w:sz="0" w:space="0" w:color="auto"/>
        <w:right w:val="none" w:sz="0" w:space="0" w:color="auto"/>
      </w:divBdr>
    </w:div>
    <w:div w:id="1068575555">
      <w:bodyDiv w:val="1"/>
      <w:marLeft w:val="0"/>
      <w:marRight w:val="0"/>
      <w:marTop w:val="0"/>
      <w:marBottom w:val="0"/>
      <w:divBdr>
        <w:top w:val="none" w:sz="0" w:space="0" w:color="auto"/>
        <w:left w:val="none" w:sz="0" w:space="0" w:color="auto"/>
        <w:bottom w:val="none" w:sz="0" w:space="0" w:color="auto"/>
        <w:right w:val="none" w:sz="0" w:space="0" w:color="auto"/>
      </w:divBdr>
    </w:div>
    <w:div w:id="1069498694">
      <w:bodyDiv w:val="1"/>
      <w:marLeft w:val="0"/>
      <w:marRight w:val="0"/>
      <w:marTop w:val="0"/>
      <w:marBottom w:val="0"/>
      <w:divBdr>
        <w:top w:val="none" w:sz="0" w:space="0" w:color="auto"/>
        <w:left w:val="none" w:sz="0" w:space="0" w:color="auto"/>
        <w:bottom w:val="none" w:sz="0" w:space="0" w:color="auto"/>
        <w:right w:val="none" w:sz="0" w:space="0" w:color="auto"/>
      </w:divBdr>
    </w:div>
    <w:div w:id="1070538466">
      <w:bodyDiv w:val="1"/>
      <w:marLeft w:val="0"/>
      <w:marRight w:val="0"/>
      <w:marTop w:val="0"/>
      <w:marBottom w:val="0"/>
      <w:divBdr>
        <w:top w:val="none" w:sz="0" w:space="0" w:color="auto"/>
        <w:left w:val="none" w:sz="0" w:space="0" w:color="auto"/>
        <w:bottom w:val="none" w:sz="0" w:space="0" w:color="auto"/>
        <w:right w:val="none" w:sz="0" w:space="0" w:color="auto"/>
      </w:divBdr>
    </w:div>
    <w:div w:id="1097868044">
      <w:bodyDiv w:val="1"/>
      <w:marLeft w:val="0"/>
      <w:marRight w:val="0"/>
      <w:marTop w:val="0"/>
      <w:marBottom w:val="0"/>
      <w:divBdr>
        <w:top w:val="none" w:sz="0" w:space="0" w:color="auto"/>
        <w:left w:val="none" w:sz="0" w:space="0" w:color="auto"/>
        <w:bottom w:val="none" w:sz="0" w:space="0" w:color="auto"/>
        <w:right w:val="none" w:sz="0" w:space="0" w:color="auto"/>
      </w:divBdr>
    </w:div>
    <w:div w:id="1098604005">
      <w:bodyDiv w:val="1"/>
      <w:marLeft w:val="0"/>
      <w:marRight w:val="0"/>
      <w:marTop w:val="0"/>
      <w:marBottom w:val="0"/>
      <w:divBdr>
        <w:top w:val="none" w:sz="0" w:space="0" w:color="auto"/>
        <w:left w:val="none" w:sz="0" w:space="0" w:color="auto"/>
        <w:bottom w:val="none" w:sz="0" w:space="0" w:color="auto"/>
        <w:right w:val="none" w:sz="0" w:space="0" w:color="auto"/>
      </w:divBdr>
    </w:div>
    <w:div w:id="1117142629">
      <w:bodyDiv w:val="1"/>
      <w:marLeft w:val="0"/>
      <w:marRight w:val="0"/>
      <w:marTop w:val="0"/>
      <w:marBottom w:val="0"/>
      <w:divBdr>
        <w:top w:val="none" w:sz="0" w:space="0" w:color="auto"/>
        <w:left w:val="none" w:sz="0" w:space="0" w:color="auto"/>
        <w:bottom w:val="none" w:sz="0" w:space="0" w:color="auto"/>
        <w:right w:val="none" w:sz="0" w:space="0" w:color="auto"/>
      </w:divBdr>
    </w:div>
    <w:div w:id="1119371425">
      <w:bodyDiv w:val="1"/>
      <w:marLeft w:val="0"/>
      <w:marRight w:val="0"/>
      <w:marTop w:val="0"/>
      <w:marBottom w:val="0"/>
      <w:divBdr>
        <w:top w:val="none" w:sz="0" w:space="0" w:color="auto"/>
        <w:left w:val="none" w:sz="0" w:space="0" w:color="auto"/>
        <w:bottom w:val="none" w:sz="0" w:space="0" w:color="auto"/>
        <w:right w:val="none" w:sz="0" w:space="0" w:color="auto"/>
      </w:divBdr>
    </w:div>
    <w:div w:id="1121529492">
      <w:bodyDiv w:val="1"/>
      <w:marLeft w:val="0"/>
      <w:marRight w:val="0"/>
      <w:marTop w:val="0"/>
      <w:marBottom w:val="0"/>
      <w:divBdr>
        <w:top w:val="none" w:sz="0" w:space="0" w:color="auto"/>
        <w:left w:val="none" w:sz="0" w:space="0" w:color="auto"/>
        <w:bottom w:val="none" w:sz="0" w:space="0" w:color="auto"/>
        <w:right w:val="none" w:sz="0" w:space="0" w:color="auto"/>
      </w:divBdr>
    </w:div>
    <w:div w:id="1124035577">
      <w:bodyDiv w:val="1"/>
      <w:marLeft w:val="0"/>
      <w:marRight w:val="0"/>
      <w:marTop w:val="0"/>
      <w:marBottom w:val="0"/>
      <w:divBdr>
        <w:top w:val="none" w:sz="0" w:space="0" w:color="auto"/>
        <w:left w:val="none" w:sz="0" w:space="0" w:color="auto"/>
        <w:bottom w:val="none" w:sz="0" w:space="0" w:color="auto"/>
        <w:right w:val="none" w:sz="0" w:space="0" w:color="auto"/>
      </w:divBdr>
    </w:div>
    <w:div w:id="1125731547">
      <w:bodyDiv w:val="1"/>
      <w:marLeft w:val="0"/>
      <w:marRight w:val="0"/>
      <w:marTop w:val="0"/>
      <w:marBottom w:val="0"/>
      <w:divBdr>
        <w:top w:val="none" w:sz="0" w:space="0" w:color="auto"/>
        <w:left w:val="none" w:sz="0" w:space="0" w:color="auto"/>
        <w:bottom w:val="none" w:sz="0" w:space="0" w:color="auto"/>
        <w:right w:val="none" w:sz="0" w:space="0" w:color="auto"/>
      </w:divBdr>
    </w:div>
    <w:div w:id="1129786314">
      <w:bodyDiv w:val="1"/>
      <w:marLeft w:val="0"/>
      <w:marRight w:val="0"/>
      <w:marTop w:val="0"/>
      <w:marBottom w:val="0"/>
      <w:divBdr>
        <w:top w:val="none" w:sz="0" w:space="0" w:color="auto"/>
        <w:left w:val="none" w:sz="0" w:space="0" w:color="auto"/>
        <w:bottom w:val="none" w:sz="0" w:space="0" w:color="auto"/>
        <w:right w:val="none" w:sz="0" w:space="0" w:color="auto"/>
      </w:divBdr>
    </w:div>
    <w:div w:id="1152212960">
      <w:bodyDiv w:val="1"/>
      <w:marLeft w:val="0"/>
      <w:marRight w:val="0"/>
      <w:marTop w:val="0"/>
      <w:marBottom w:val="0"/>
      <w:divBdr>
        <w:top w:val="none" w:sz="0" w:space="0" w:color="auto"/>
        <w:left w:val="none" w:sz="0" w:space="0" w:color="auto"/>
        <w:bottom w:val="none" w:sz="0" w:space="0" w:color="auto"/>
        <w:right w:val="none" w:sz="0" w:space="0" w:color="auto"/>
      </w:divBdr>
    </w:div>
    <w:div w:id="1153717683">
      <w:bodyDiv w:val="1"/>
      <w:marLeft w:val="0"/>
      <w:marRight w:val="0"/>
      <w:marTop w:val="0"/>
      <w:marBottom w:val="0"/>
      <w:divBdr>
        <w:top w:val="none" w:sz="0" w:space="0" w:color="auto"/>
        <w:left w:val="none" w:sz="0" w:space="0" w:color="auto"/>
        <w:bottom w:val="none" w:sz="0" w:space="0" w:color="auto"/>
        <w:right w:val="none" w:sz="0" w:space="0" w:color="auto"/>
      </w:divBdr>
    </w:div>
    <w:div w:id="1175995453">
      <w:bodyDiv w:val="1"/>
      <w:marLeft w:val="0"/>
      <w:marRight w:val="0"/>
      <w:marTop w:val="0"/>
      <w:marBottom w:val="0"/>
      <w:divBdr>
        <w:top w:val="none" w:sz="0" w:space="0" w:color="auto"/>
        <w:left w:val="none" w:sz="0" w:space="0" w:color="auto"/>
        <w:bottom w:val="none" w:sz="0" w:space="0" w:color="auto"/>
        <w:right w:val="none" w:sz="0" w:space="0" w:color="auto"/>
      </w:divBdr>
    </w:div>
    <w:div w:id="1198742774">
      <w:bodyDiv w:val="1"/>
      <w:marLeft w:val="0"/>
      <w:marRight w:val="0"/>
      <w:marTop w:val="0"/>
      <w:marBottom w:val="0"/>
      <w:divBdr>
        <w:top w:val="none" w:sz="0" w:space="0" w:color="auto"/>
        <w:left w:val="none" w:sz="0" w:space="0" w:color="auto"/>
        <w:bottom w:val="none" w:sz="0" w:space="0" w:color="auto"/>
        <w:right w:val="none" w:sz="0" w:space="0" w:color="auto"/>
      </w:divBdr>
    </w:div>
    <w:div w:id="1238396326">
      <w:bodyDiv w:val="1"/>
      <w:marLeft w:val="0"/>
      <w:marRight w:val="0"/>
      <w:marTop w:val="0"/>
      <w:marBottom w:val="0"/>
      <w:divBdr>
        <w:top w:val="none" w:sz="0" w:space="0" w:color="auto"/>
        <w:left w:val="none" w:sz="0" w:space="0" w:color="auto"/>
        <w:bottom w:val="none" w:sz="0" w:space="0" w:color="auto"/>
        <w:right w:val="none" w:sz="0" w:space="0" w:color="auto"/>
      </w:divBdr>
    </w:div>
    <w:div w:id="1248925423">
      <w:bodyDiv w:val="1"/>
      <w:marLeft w:val="0"/>
      <w:marRight w:val="0"/>
      <w:marTop w:val="0"/>
      <w:marBottom w:val="0"/>
      <w:divBdr>
        <w:top w:val="none" w:sz="0" w:space="0" w:color="auto"/>
        <w:left w:val="none" w:sz="0" w:space="0" w:color="auto"/>
        <w:bottom w:val="none" w:sz="0" w:space="0" w:color="auto"/>
        <w:right w:val="none" w:sz="0" w:space="0" w:color="auto"/>
      </w:divBdr>
    </w:div>
    <w:div w:id="1261447947">
      <w:bodyDiv w:val="1"/>
      <w:marLeft w:val="0"/>
      <w:marRight w:val="0"/>
      <w:marTop w:val="0"/>
      <w:marBottom w:val="0"/>
      <w:divBdr>
        <w:top w:val="none" w:sz="0" w:space="0" w:color="auto"/>
        <w:left w:val="none" w:sz="0" w:space="0" w:color="auto"/>
        <w:bottom w:val="none" w:sz="0" w:space="0" w:color="auto"/>
        <w:right w:val="none" w:sz="0" w:space="0" w:color="auto"/>
      </w:divBdr>
    </w:div>
    <w:div w:id="1271006940">
      <w:bodyDiv w:val="1"/>
      <w:marLeft w:val="0"/>
      <w:marRight w:val="0"/>
      <w:marTop w:val="0"/>
      <w:marBottom w:val="0"/>
      <w:divBdr>
        <w:top w:val="none" w:sz="0" w:space="0" w:color="auto"/>
        <w:left w:val="none" w:sz="0" w:space="0" w:color="auto"/>
        <w:bottom w:val="none" w:sz="0" w:space="0" w:color="auto"/>
        <w:right w:val="none" w:sz="0" w:space="0" w:color="auto"/>
      </w:divBdr>
    </w:div>
    <w:div w:id="1273587354">
      <w:bodyDiv w:val="1"/>
      <w:marLeft w:val="0"/>
      <w:marRight w:val="0"/>
      <w:marTop w:val="0"/>
      <w:marBottom w:val="0"/>
      <w:divBdr>
        <w:top w:val="none" w:sz="0" w:space="0" w:color="auto"/>
        <w:left w:val="none" w:sz="0" w:space="0" w:color="auto"/>
        <w:bottom w:val="none" w:sz="0" w:space="0" w:color="auto"/>
        <w:right w:val="none" w:sz="0" w:space="0" w:color="auto"/>
      </w:divBdr>
    </w:div>
    <w:div w:id="1276594667">
      <w:bodyDiv w:val="1"/>
      <w:marLeft w:val="0"/>
      <w:marRight w:val="0"/>
      <w:marTop w:val="0"/>
      <w:marBottom w:val="0"/>
      <w:divBdr>
        <w:top w:val="none" w:sz="0" w:space="0" w:color="auto"/>
        <w:left w:val="none" w:sz="0" w:space="0" w:color="auto"/>
        <w:bottom w:val="none" w:sz="0" w:space="0" w:color="auto"/>
        <w:right w:val="none" w:sz="0" w:space="0" w:color="auto"/>
      </w:divBdr>
    </w:div>
    <w:div w:id="1279488010">
      <w:bodyDiv w:val="1"/>
      <w:marLeft w:val="0"/>
      <w:marRight w:val="0"/>
      <w:marTop w:val="0"/>
      <w:marBottom w:val="0"/>
      <w:divBdr>
        <w:top w:val="none" w:sz="0" w:space="0" w:color="auto"/>
        <w:left w:val="none" w:sz="0" w:space="0" w:color="auto"/>
        <w:bottom w:val="none" w:sz="0" w:space="0" w:color="auto"/>
        <w:right w:val="none" w:sz="0" w:space="0" w:color="auto"/>
      </w:divBdr>
    </w:div>
    <w:div w:id="1340619064">
      <w:bodyDiv w:val="1"/>
      <w:marLeft w:val="0"/>
      <w:marRight w:val="0"/>
      <w:marTop w:val="0"/>
      <w:marBottom w:val="0"/>
      <w:divBdr>
        <w:top w:val="none" w:sz="0" w:space="0" w:color="auto"/>
        <w:left w:val="none" w:sz="0" w:space="0" w:color="auto"/>
        <w:bottom w:val="none" w:sz="0" w:space="0" w:color="auto"/>
        <w:right w:val="none" w:sz="0" w:space="0" w:color="auto"/>
      </w:divBdr>
    </w:div>
    <w:div w:id="1371416121">
      <w:bodyDiv w:val="1"/>
      <w:marLeft w:val="0"/>
      <w:marRight w:val="0"/>
      <w:marTop w:val="0"/>
      <w:marBottom w:val="0"/>
      <w:divBdr>
        <w:top w:val="none" w:sz="0" w:space="0" w:color="auto"/>
        <w:left w:val="none" w:sz="0" w:space="0" w:color="auto"/>
        <w:bottom w:val="none" w:sz="0" w:space="0" w:color="auto"/>
        <w:right w:val="none" w:sz="0" w:space="0" w:color="auto"/>
      </w:divBdr>
    </w:div>
    <w:div w:id="1388995847">
      <w:bodyDiv w:val="1"/>
      <w:marLeft w:val="0"/>
      <w:marRight w:val="0"/>
      <w:marTop w:val="0"/>
      <w:marBottom w:val="0"/>
      <w:divBdr>
        <w:top w:val="none" w:sz="0" w:space="0" w:color="auto"/>
        <w:left w:val="none" w:sz="0" w:space="0" w:color="auto"/>
        <w:bottom w:val="none" w:sz="0" w:space="0" w:color="auto"/>
        <w:right w:val="none" w:sz="0" w:space="0" w:color="auto"/>
      </w:divBdr>
    </w:div>
    <w:div w:id="1407413591">
      <w:bodyDiv w:val="1"/>
      <w:marLeft w:val="0"/>
      <w:marRight w:val="0"/>
      <w:marTop w:val="0"/>
      <w:marBottom w:val="0"/>
      <w:divBdr>
        <w:top w:val="none" w:sz="0" w:space="0" w:color="auto"/>
        <w:left w:val="none" w:sz="0" w:space="0" w:color="auto"/>
        <w:bottom w:val="none" w:sz="0" w:space="0" w:color="auto"/>
        <w:right w:val="none" w:sz="0" w:space="0" w:color="auto"/>
      </w:divBdr>
    </w:div>
    <w:div w:id="1421292295">
      <w:bodyDiv w:val="1"/>
      <w:marLeft w:val="0"/>
      <w:marRight w:val="0"/>
      <w:marTop w:val="0"/>
      <w:marBottom w:val="0"/>
      <w:divBdr>
        <w:top w:val="none" w:sz="0" w:space="0" w:color="auto"/>
        <w:left w:val="none" w:sz="0" w:space="0" w:color="auto"/>
        <w:bottom w:val="none" w:sz="0" w:space="0" w:color="auto"/>
        <w:right w:val="none" w:sz="0" w:space="0" w:color="auto"/>
      </w:divBdr>
    </w:div>
    <w:div w:id="1432776862">
      <w:bodyDiv w:val="1"/>
      <w:marLeft w:val="0"/>
      <w:marRight w:val="0"/>
      <w:marTop w:val="0"/>
      <w:marBottom w:val="0"/>
      <w:divBdr>
        <w:top w:val="none" w:sz="0" w:space="0" w:color="auto"/>
        <w:left w:val="none" w:sz="0" w:space="0" w:color="auto"/>
        <w:bottom w:val="none" w:sz="0" w:space="0" w:color="auto"/>
        <w:right w:val="none" w:sz="0" w:space="0" w:color="auto"/>
      </w:divBdr>
    </w:div>
    <w:div w:id="1442996939">
      <w:bodyDiv w:val="1"/>
      <w:marLeft w:val="0"/>
      <w:marRight w:val="0"/>
      <w:marTop w:val="0"/>
      <w:marBottom w:val="0"/>
      <w:divBdr>
        <w:top w:val="none" w:sz="0" w:space="0" w:color="auto"/>
        <w:left w:val="none" w:sz="0" w:space="0" w:color="auto"/>
        <w:bottom w:val="none" w:sz="0" w:space="0" w:color="auto"/>
        <w:right w:val="none" w:sz="0" w:space="0" w:color="auto"/>
      </w:divBdr>
    </w:div>
    <w:div w:id="1467773916">
      <w:bodyDiv w:val="1"/>
      <w:marLeft w:val="0"/>
      <w:marRight w:val="0"/>
      <w:marTop w:val="0"/>
      <w:marBottom w:val="0"/>
      <w:divBdr>
        <w:top w:val="none" w:sz="0" w:space="0" w:color="auto"/>
        <w:left w:val="none" w:sz="0" w:space="0" w:color="auto"/>
        <w:bottom w:val="none" w:sz="0" w:space="0" w:color="auto"/>
        <w:right w:val="none" w:sz="0" w:space="0" w:color="auto"/>
      </w:divBdr>
    </w:div>
    <w:div w:id="1482692678">
      <w:bodyDiv w:val="1"/>
      <w:marLeft w:val="0"/>
      <w:marRight w:val="0"/>
      <w:marTop w:val="0"/>
      <w:marBottom w:val="0"/>
      <w:divBdr>
        <w:top w:val="none" w:sz="0" w:space="0" w:color="auto"/>
        <w:left w:val="none" w:sz="0" w:space="0" w:color="auto"/>
        <w:bottom w:val="none" w:sz="0" w:space="0" w:color="auto"/>
        <w:right w:val="none" w:sz="0" w:space="0" w:color="auto"/>
      </w:divBdr>
    </w:div>
    <w:div w:id="1484470118">
      <w:bodyDiv w:val="1"/>
      <w:marLeft w:val="0"/>
      <w:marRight w:val="0"/>
      <w:marTop w:val="0"/>
      <w:marBottom w:val="0"/>
      <w:divBdr>
        <w:top w:val="none" w:sz="0" w:space="0" w:color="auto"/>
        <w:left w:val="none" w:sz="0" w:space="0" w:color="auto"/>
        <w:bottom w:val="none" w:sz="0" w:space="0" w:color="auto"/>
        <w:right w:val="none" w:sz="0" w:space="0" w:color="auto"/>
      </w:divBdr>
    </w:div>
    <w:div w:id="1487237504">
      <w:bodyDiv w:val="1"/>
      <w:marLeft w:val="0"/>
      <w:marRight w:val="0"/>
      <w:marTop w:val="0"/>
      <w:marBottom w:val="0"/>
      <w:divBdr>
        <w:top w:val="none" w:sz="0" w:space="0" w:color="auto"/>
        <w:left w:val="none" w:sz="0" w:space="0" w:color="auto"/>
        <w:bottom w:val="none" w:sz="0" w:space="0" w:color="auto"/>
        <w:right w:val="none" w:sz="0" w:space="0" w:color="auto"/>
      </w:divBdr>
    </w:div>
    <w:div w:id="1518958638">
      <w:bodyDiv w:val="1"/>
      <w:marLeft w:val="0"/>
      <w:marRight w:val="0"/>
      <w:marTop w:val="0"/>
      <w:marBottom w:val="0"/>
      <w:divBdr>
        <w:top w:val="none" w:sz="0" w:space="0" w:color="auto"/>
        <w:left w:val="none" w:sz="0" w:space="0" w:color="auto"/>
        <w:bottom w:val="none" w:sz="0" w:space="0" w:color="auto"/>
        <w:right w:val="none" w:sz="0" w:space="0" w:color="auto"/>
      </w:divBdr>
    </w:div>
    <w:div w:id="1520896914">
      <w:bodyDiv w:val="1"/>
      <w:marLeft w:val="0"/>
      <w:marRight w:val="0"/>
      <w:marTop w:val="0"/>
      <w:marBottom w:val="0"/>
      <w:divBdr>
        <w:top w:val="none" w:sz="0" w:space="0" w:color="auto"/>
        <w:left w:val="none" w:sz="0" w:space="0" w:color="auto"/>
        <w:bottom w:val="none" w:sz="0" w:space="0" w:color="auto"/>
        <w:right w:val="none" w:sz="0" w:space="0" w:color="auto"/>
      </w:divBdr>
    </w:div>
    <w:div w:id="1531072094">
      <w:bodyDiv w:val="1"/>
      <w:marLeft w:val="0"/>
      <w:marRight w:val="0"/>
      <w:marTop w:val="0"/>
      <w:marBottom w:val="0"/>
      <w:divBdr>
        <w:top w:val="none" w:sz="0" w:space="0" w:color="auto"/>
        <w:left w:val="none" w:sz="0" w:space="0" w:color="auto"/>
        <w:bottom w:val="none" w:sz="0" w:space="0" w:color="auto"/>
        <w:right w:val="none" w:sz="0" w:space="0" w:color="auto"/>
      </w:divBdr>
      <w:divsChild>
        <w:div w:id="1664316129">
          <w:marLeft w:val="0"/>
          <w:marRight w:val="0"/>
          <w:marTop w:val="0"/>
          <w:marBottom w:val="0"/>
          <w:divBdr>
            <w:top w:val="none" w:sz="0" w:space="0" w:color="auto"/>
            <w:left w:val="none" w:sz="0" w:space="0" w:color="auto"/>
            <w:bottom w:val="none" w:sz="0" w:space="0" w:color="auto"/>
            <w:right w:val="none" w:sz="0" w:space="0" w:color="auto"/>
          </w:divBdr>
          <w:divsChild>
            <w:div w:id="1406494563">
              <w:marLeft w:val="0"/>
              <w:marRight w:val="0"/>
              <w:marTop w:val="0"/>
              <w:marBottom w:val="0"/>
              <w:divBdr>
                <w:top w:val="none" w:sz="0" w:space="0" w:color="auto"/>
                <w:left w:val="none" w:sz="0" w:space="0" w:color="auto"/>
                <w:bottom w:val="none" w:sz="0" w:space="0" w:color="auto"/>
                <w:right w:val="none" w:sz="0" w:space="0" w:color="auto"/>
              </w:divBdr>
              <w:divsChild>
                <w:div w:id="1876117594">
                  <w:marLeft w:val="0"/>
                  <w:marRight w:val="0"/>
                  <w:marTop w:val="0"/>
                  <w:marBottom w:val="0"/>
                  <w:divBdr>
                    <w:top w:val="none" w:sz="0" w:space="0" w:color="auto"/>
                    <w:left w:val="none" w:sz="0" w:space="0" w:color="auto"/>
                    <w:bottom w:val="none" w:sz="0" w:space="0" w:color="auto"/>
                    <w:right w:val="none" w:sz="0" w:space="0" w:color="auto"/>
                  </w:divBdr>
                  <w:divsChild>
                    <w:div w:id="1363215276">
                      <w:marLeft w:val="0"/>
                      <w:marRight w:val="0"/>
                      <w:marTop w:val="0"/>
                      <w:marBottom w:val="0"/>
                      <w:divBdr>
                        <w:top w:val="none" w:sz="0" w:space="0" w:color="auto"/>
                        <w:left w:val="none" w:sz="0" w:space="0" w:color="auto"/>
                        <w:bottom w:val="none" w:sz="0" w:space="0" w:color="auto"/>
                        <w:right w:val="none" w:sz="0" w:space="0" w:color="auto"/>
                      </w:divBdr>
                      <w:divsChild>
                        <w:div w:id="1994681327">
                          <w:marLeft w:val="0"/>
                          <w:marRight w:val="0"/>
                          <w:marTop w:val="45"/>
                          <w:marBottom w:val="0"/>
                          <w:divBdr>
                            <w:top w:val="none" w:sz="0" w:space="0" w:color="auto"/>
                            <w:left w:val="none" w:sz="0" w:space="0" w:color="auto"/>
                            <w:bottom w:val="none" w:sz="0" w:space="0" w:color="auto"/>
                            <w:right w:val="none" w:sz="0" w:space="0" w:color="auto"/>
                          </w:divBdr>
                          <w:divsChild>
                            <w:div w:id="884874659">
                              <w:marLeft w:val="0"/>
                              <w:marRight w:val="0"/>
                              <w:marTop w:val="0"/>
                              <w:marBottom w:val="0"/>
                              <w:divBdr>
                                <w:top w:val="none" w:sz="0" w:space="0" w:color="auto"/>
                                <w:left w:val="none" w:sz="0" w:space="0" w:color="auto"/>
                                <w:bottom w:val="none" w:sz="0" w:space="0" w:color="auto"/>
                                <w:right w:val="none" w:sz="0" w:space="0" w:color="auto"/>
                              </w:divBdr>
                              <w:divsChild>
                                <w:div w:id="1310555399">
                                  <w:marLeft w:val="2070"/>
                                  <w:marRight w:val="3810"/>
                                  <w:marTop w:val="0"/>
                                  <w:marBottom w:val="0"/>
                                  <w:divBdr>
                                    <w:top w:val="none" w:sz="0" w:space="0" w:color="auto"/>
                                    <w:left w:val="none" w:sz="0" w:space="0" w:color="auto"/>
                                    <w:bottom w:val="none" w:sz="0" w:space="0" w:color="auto"/>
                                    <w:right w:val="none" w:sz="0" w:space="0" w:color="auto"/>
                                  </w:divBdr>
                                  <w:divsChild>
                                    <w:div w:id="1797135350">
                                      <w:marLeft w:val="0"/>
                                      <w:marRight w:val="0"/>
                                      <w:marTop w:val="0"/>
                                      <w:marBottom w:val="0"/>
                                      <w:divBdr>
                                        <w:top w:val="none" w:sz="0" w:space="0" w:color="auto"/>
                                        <w:left w:val="none" w:sz="0" w:space="0" w:color="auto"/>
                                        <w:bottom w:val="none" w:sz="0" w:space="0" w:color="auto"/>
                                        <w:right w:val="none" w:sz="0" w:space="0" w:color="auto"/>
                                      </w:divBdr>
                                      <w:divsChild>
                                        <w:div w:id="1999454839">
                                          <w:marLeft w:val="0"/>
                                          <w:marRight w:val="0"/>
                                          <w:marTop w:val="0"/>
                                          <w:marBottom w:val="0"/>
                                          <w:divBdr>
                                            <w:top w:val="none" w:sz="0" w:space="0" w:color="auto"/>
                                            <w:left w:val="none" w:sz="0" w:space="0" w:color="auto"/>
                                            <w:bottom w:val="none" w:sz="0" w:space="0" w:color="auto"/>
                                            <w:right w:val="none" w:sz="0" w:space="0" w:color="auto"/>
                                          </w:divBdr>
                                          <w:divsChild>
                                            <w:div w:id="1261183822">
                                              <w:marLeft w:val="0"/>
                                              <w:marRight w:val="0"/>
                                              <w:marTop w:val="0"/>
                                              <w:marBottom w:val="0"/>
                                              <w:divBdr>
                                                <w:top w:val="none" w:sz="0" w:space="0" w:color="auto"/>
                                                <w:left w:val="none" w:sz="0" w:space="0" w:color="auto"/>
                                                <w:bottom w:val="none" w:sz="0" w:space="0" w:color="auto"/>
                                                <w:right w:val="none" w:sz="0" w:space="0" w:color="auto"/>
                                              </w:divBdr>
                                              <w:divsChild>
                                                <w:div w:id="578563974">
                                                  <w:marLeft w:val="0"/>
                                                  <w:marRight w:val="0"/>
                                                  <w:marTop w:val="0"/>
                                                  <w:marBottom w:val="0"/>
                                                  <w:divBdr>
                                                    <w:top w:val="none" w:sz="0" w:space="0" w:color="auto"/>
                                                    <w:left w:val="none" w:sz="0" w:space="0" w:color="auto"/>
                                                    <w:bottom w:val="none" w:sz="0" w:space="0" w:color="auto"/>
                                                    <w:right w:val="none" w:sz="0" w:space="0" w:color="auto"/>
                                                  </w:divBdr>
                                                  <w:divsChild>
                                                    <w:div w:id="816844859">
                                                      <w:marLeft w:val="0"/>
                                                      <w:marRight w:val="0"/>
                                                      <w:marTop w:val="0"/>
                                                      <w:marBottom w:val="0"/>
                                                      <w:divBdr>
                                                        <w:top w:val="none" w:sz="0" w:space="0" w:color="auto"/>
                                                        <w:left w:val="none" w:sz="0" w:space="0" w:color="auto"/>
                                                        <w:bottom w:val="none" w:sz="0" w:space="0" w:color="auto"/>
                                                        <w:right w:val="none" w:sz="0" w:space="0" w:color="auto"/>
                                                      </w:divBdr>
                                                      <w:divsChild>
                                                        <w:div w:id="15540731">
                                                          <w:marLeft w:val="0"/>
                                                          <w:marRight w:val="0"/>
                                                          <w:marTop w:val="0"/>
                                                          <w:marBottom w:val="345"/>
                                                          <w:divBdr>
                                                            <w:top w:val="none" w:sz="0" w:space="0" w:color="auto"/>
                                                            <w:left w:val="none" w:sz="0" w:space="0" w:color="auto"/>
                                                            <w:bottom w:val="none" w:sz="0" w:space="0" w:color="auto"/>
                                                            <w:right w:val="none" w:sz="0" w:space="0" w:color="auto"/>
                                                          </w:divBdr>
                                                          <w:divsChild>
                                                            <w:div w:id="95491751">
                                                              <w:marLeft w:val="0"/>
                                                              <w:marRight w:val="0"/>
                                                              <w:marTop w:val="0"/>
                                                              <w:marBottom w:val="0"/>
                                                              <w:divBdr>
                                                                <w:top w:val="none" w:sz="0" w:space="0" w:color="auto"/>
                                                                <w:left w:val="none" w:sz="0" w:space="0" w:color="auto"/>
                                                                <w:bottom w:val="none" w:sz="0" w:space="0" w:color="auto"/>
                                                                <w:right w:val="none" w:sz="0" w:space="0" w:color="auto"/>
                                                              </w:divBdr>
                                                              <w:divsChild>
                                                                <w:div w:id="1441948612">
                                                                  <w:marLeft w:val="0"/>
                                                                  <w:marRight w:val="0"/>
                                                                  <w:marTop w:val="0"/>
                                                                  <w:marBottom w:val="0"/>
                                                                  <w:divBdr>
                                                                    <w:top w:val="none" w:sz="0" w:space="0" w:color="auto"/>
                                                                    <w:left w:val="none" w:sz="0" w:space="0" w:color="auto"/>
                                                                    <w:bottom w:val="none" w:sz="0" w:space="0" w:color="auto"/>
                                                                    <w:right w:val="none" w:sz="0" w:space="0" w:color="auto"/>
                                                                  </w:divBdr>
                                                                  <w:divsChild>
                                                                    <w:div w:id="1566256243">
                                                                      <w:marLeft w:val="0"/>
                                                                      <w:marRight w:val="0"/>
                                                                      <w:marTop w:val="0"/>
                                                                      <w:marBottom w:val="0"/>
                                                                      <w:divBdr>
                                                                        <w:top w:val="none" w:sz="0" w:space="0" w:color="auto"/>
                                                                        <w:left w:val="none" w:sz="0" w:space="0" w:color="auto"/>
                                                                        <w:bottom w:val="none" w:sz="0" w:space="0" w:color="auto"/>
                                                                        <w:right w:val="none" w:sz="0" w:space="0" w:color="auto"/>
                                                                      </w:divBdr>
                                                                      <w:divsChild>
                                                                        <w:div w:id="103357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4344792">
      <w:bodyDiv w:val="1"/>
      <w:marLeft w:val="0"/>
      <w:marRight w:val="0"/>
      <w:marTop w:val="0"/>
      <w:marBottom w:val="0"/>
      <w:divBdr>
        <w:top w:val="none" w:sz="0" w:space="0" w:color="auto"/>
        <w:left w:val="none" w:sz="0" w:space="0" w:color="auto"/>
        <w:bottom w:val="none" w:sz="0" w:space="0" w:color="auto"/>
        <w:right w:val="none" w:sz="0" w:space="0" w:color="auto"/>
      </w:divBdr>
    </w:div>
    <w:div w:id="1542783079">
      <w:bodyDiv w:val="1"/>
      <w:marLeft w:val="0"/>
      <w:marRight w:val="0"/>
      <w:marTop w:val="0"/>
      <w:marBottom w:val="0"/>
      <w:divBdr>
        <w:top w:val="none" w:sz="0" w:space="0" w:color="auto"/>
        <w:left w:val="none" w:sz="0" w:space="0" w:color="auto"/>
        <w:bottom w:val="none" w:sz="0" w:space="0" w:color="auto"/>
        <w:right w:val="none" w:sz="0" w:space="0" w:color="auto"/>
      </w:divBdr>
    </w:div>
    <w:div w:id="1558592040">
      <w:bodyDiv w:val="1"/>
      <w:marLeft w:val="0"/>
      <w:marRight w:val="0"/>
      <w:marTop w:val="0"/>
      <w:marBottom w:val="0"/>
      <w:divBdr>
        <w:top w:val="none" w:sz="0" w:space="0" w:color="auto"/>
        <w:left w:val="none" w:sz="0" w:space="0" w:color="auto"/>
        <w:bottom w:val="none" w:sz="0" w:space="0" w:color="auto"/>
        <w:right w:val="none" w:sz="0" w:space="0" w:color="auto"/>
      </w:divBdr>
    </w:div>
    <w:div w:id="1563444545">
      <w:bodyDiv w:val="1"/>
      <w:marLeft w:val="0"/>
      <w:marRight w:val="0"/>
      <w:marTop w:val="0"/>
      <w:marBottom w:val="0"/>
      <w:divBdr>
        <w:top w:val="none" w:sz="0" w:space="0" w:color="auto"/>
        <w:left w:val="none" w:sz="0" w:space="0" w:color="auto"/>
        <w:bottom w:val="none" w:sz="0" w:space="0" w:color="auto"/>
        <w:right w:val="none" w:sz="0" w:space="0" w:color="auto"/>
      </w:divBdr>
    </w:div>
    <w:div w:id="1573194221">
      <w:bodyDiv w:val="1"/>
      <w:marLeft w:val="0"/>
      <w:marRight w:val="0"/>
      <w:marTop w:val="0"/>
      <w:marBottom w:val="0"/>
      <w:divBdr>
        <w:top w:val="none" w:sz="0" w:space="0" w:color="auto"/>
        <w:left w:val="none" w:sz="0" w:space="0" w:color="auto"/>
        <w:bottom w:val="none" w:sz="0" w:space="0" w:color="auto"/>
        <w:right w:val="none" w:sz="0" w:space="0" w:color="auto"/>
      </w:divBdr>
    </w:div>
    <w:div w:id="1577208212">
      <w:bodyDiv w:val="1"/>
      <w:marLeft w:val="0"/>
      <w:marRight w:val="0"/>
      <w:marTop w:val="0"/>
      <w:marBottom w:val="0"/>
      <w:divBdr>
        <w:top w:val="none" w:sz="0" w:space="0" w:color="auto"/>
        <w:left w:val="none" w:sz="0" w:space="0" w:color="auto"/>
        <w:bottom w:val="none" w:sz="0" w:space="0" w:color="auto"/>
        <w:right w:val="none" w:sz="0" w:space="0" w:color="auto"/>
      </w:divBdr>
    </w:div>
    <w:div w:id="1582715325">
      <w:bodyDiv w:val="1"/>
      <w:marLeft w:val="0"/>
      <w:marRight w:val="0"/>
      <w:marTop w:val="0"/>
      <w:marBottom w:val="0"/>
      <w:divBdr>
        <w:top w:val="none" w:sz="0" w:space="0" w:color="auto"/>
        <w:left w:val="none" w:sz="0" w:space="0" w:color="auto"/>
        <w:bottom w:val="none" w:sz="0" w:space="0" w:color="auto"/>
        <w:right w:val="none" w:sz="0" w:space="0" w:color="auto"/>
      </w:divBdr>
    </w:div>
    <w:div w:id="1583643456">
      <w:bodyDiv w:val="1"/>
      <w:marLeft w:val="0"/>
      <w:marRight w:val="0"/>
      <w:marTop w:val="0"/>
      <w:marBottom w:val="0"/>
      <w:divBdr>
        <w:top w:val="none" w:sz="0" w:space="0" w:color="auto"/>
        <w:left w:val="none" w:sz="0" w:space="0" w:color="auto"/>
        <w:bottom w:val="none" w:sz="0" w:space="0" w:color="auto"/>
        <w:right w:val="none" w:sz="0" w:space="0" w:color="auto"/>
      </w:divBdr>
    </w:div>
    <w:div w:id="1587421930">
      <w:bodyDiv w:val="1"/>
      <w:marLeft w:val="0"/>
      <w:marRight w:val="0"/>
      <w:marTop w:val="0"/>
      <w:marBottom w:val="0"/>
      <w:divBdr>
        <w:top w:val="none" w:sz="0" w:space="0" w:color="auto"/>
        <w:left w:val="none" w:sz="0" w:space="0" w:color="auto"/>
        <w:bottom w:val="none" w:sz="0" w:space="0" w:color="auto"/>
        <w:right w:val="none" w:sz="0" w:space="0" w:color="auto"/>
      </w:divBdr>
    </w:div>
    <w:div w:id="1592201845">
      <w:bodyDiv w:val="1"/>
      <w:marLeft w:val="0"/>
      <w:marRight w:val="0"/>
      <w:marTop w:val="0"/>
      <w:marBottom w:val="0"/>
      <w:divBdr>
        <w:top w:val="none" w:sz="0" w:space="0" w:color="auto"/>
        <w:left w:val="none" w:sz="0" w:space="0" w:color="auto"/>
        <w:bottom w:val="none" w:sz="0" w:space="0" w:color="auto"/>
        <w:right w:val="none" w:sz="0" w:space="0" w:color="auto"/>
      </w:divBdr>
    </w:div>
    <w:div w:id="1614551403">
      <w:bodyDiv w:val="1"/>
      <w:marLeft w:val="0"/>
      <w:marRight w:val="0"/>
      <w:marTop w:val="0"/>
      <w:marBottom w:val="0"/>
      <w:divBdr>
        <w:top w:val="none" w:sz="0" w:space="0" w:color="auto"/>
        <w:left w:val="none" w:sz="0" w:space="0" w:color="auto"/>
        <w:bottom w:val="none" w:sz="0" w:space="0" w:color="auto"/>
        <w:right w:val="none" w:sz="0" w:space="0" w:color="auto"/>
      </w:divBdr>
    </w:div>
    <w:div w:id="1618684951">
      <w:bodyDiv w:val="1"/>
      <w:marLeft w:val="0"/>
      <w:marRight w:val="0"/>
      <w:marTop w:val="0"/>
      <w:marBottom w:val="0"/>
      <w:divBdr>
        <w:top w:val="none" w:sz="0" w:space="0" w:color="auto"/>
        <w:left w:val="none" w:sz="0" w:space="0" w:color="auto"/>
        <w:bottom w:val="none" w:sz="0" w:space="0" w:color="auto"/>
        <w:right w:val="none" w:sz="0" w:space="0" w:color="auto"/>
      </w:divBdr>
    </w:div>
    <w:div w:id="1620184310">
      <w:bodyDiv w:val="1"/>
      <w:marLeft w:val="0"/>
      <w:marRight w:val="0"/>
      <w:marTop w:val="0"/>
      <w:marBottom w:val="0"/>
      <w:divBdr>
        <w:top w:val="none" w:sz="0" w:space="0" w:color="auto"/>
        <w:left w:val="none" w:sz="0" w:space="0" w:color="auto"/>
        <w:bottom w:val="none" w:sz="0" w:space="0" w:color="auto"/>
        <w:right w:val="none" w:sz="0" w:space="0" w:color="auto"/>
      </w:divBdr>
    </w:div>
    <w:div w:id="1622954534">
      <w:bodyDiv w:val="1"/>
      <w:marLeft w:val="0"/>
      <w:marRight w:val="0"/>
      <w:marTop w:val="0"/>
      <w:marBottom w:val="0"/>
      <w:divBdr>
        <w:top w:val="none" w:sz="0" w:space="0" w:color="auto"/>
        <w:left w:val="none" w:sz="0" w:space="0" w:color="auto"/>
        <w:bottom w:val="none" w:sz="0" w:space="0" w:color="auto"/>
        <w:right w:val="none" w:sz="0" w:space="0" w:color="auto"/>
      </w:divBdr>
    </w:div>
    <w:div w:id="1631476275">
      <w:bodyDiv w:val="1"/>
      <w:marLeft w:val="0"/>
      <w:marRight w:val="0"/>
      <w:marTop w:val="0"/>
      <w:marBottom w:val="0"/>
      <w:divBdr>
        <w:top w:val="none" w:sz="0" w:space="0" w:color="auto"/>
        <w:left w:val="none" w:sz="0" w:space="0" w:color="auto"/>
        <w:bottom w:val="none" w:sz="0" w:space="0" w:color="auto"/>
        <w:right w:val="none" w:sz="0" w:space="0" w:color="auto"/>
      </w:divBdr>
    </w:div>
    <w:div w:id="1636566635">
      <w:bodyDiv w:val="1"/>
      <w:marLeft w:val="0"/>
      <w:marRight w:val="0"/>
      <w:marTop w:val="0"/>
      <w:marBottom w:val="0"/>
      <w:divBdr>
        <w:top w:val="none" w:sz="0" w:space="0" w:color="auto"/>
        <w:left w:val="none" w:sz="0" w:space="0" w:color="auto"/>
        <w:bottom w:val="none" w:sz="0" w:space="0" w:color="auto"/>
        <w:right w:val="none" w:sz="0" w:space="0" w:color="auto"/>
      </w:divBdr>
    </w:div>
    <w:div w:id="1653946772">
      <w:bodyDiv w:val="1"/>
      <w:marLeft w:val="0"/>
      <w:marRight w:val="0"/>
      <w:marTop w:val="0"/>
      <w:marBottom w:val="0"/>
      <w:divBdr>
        <w:top w:val="none" w:sz="0" w:space="0" w:color="auto"/>
        <w:left w:val="none" w:sz="0" w:space="0" w:color="auto"/>
        <w:bottom w:val="none" w:sz="0" w:space="0" w:color="auto"/>
        <w:right w:val="none" w:sz="0" w:space="0" w:color="auto"/>
      </w:divBdr>
    </w:div>
    <w:div w:id="1656833631">
      <w:bodyDiv w:val="1"/>
      <w:marLeft w:val="0"/>
      <w:marRight w:val="0"/>
      <w:marTop w:val="0"/>
      <w:marBottom w:val="0"/>
      <w:divBdr>
        <w:top w:val="none" w:sz="0" w:space="0" w:color="auto"/>
        <w:left w:val="none" w:sz="0" w:space="0" w:color="auto"/>
        <w:bottom w:val="none" w:sz="0" w:space="0" w:color="auto"/>
        <w:right w:val="none" w:sz="0" w:space="0" w:color="auto"/>
      </w:divBdr>
    </w:div>
    <w:div w:id="1664315808">
      <w:bodyDiv w:val="1"/>
      <w:marLeft w:val="0"/>
      <w:marRight w:val="0"/>
      <w:marTop w:val="0"/>
      <w:marBottom w:val="0"/>
      <w:divBdr>
        <w:top w:val="none" w:sz="0" w:space="0" w:color="auto"/>
        <w:left w:val="none" w:sz="0" w:space="0" w:color="auto"/>
        <w:bottom w:val="none" w:sz="0" w:space="0" w:color="auto"/>
        <w:right w:val="none" w:sz="0" w:space="0" w:color="auto"/>
      </w:divBdr>
    </w:div>
    <w:div w:id="1674449741">
      <w:bodyDiv w:val="1"/>
      <w:marLeft w:val="0"/>
      <w:marRight w:val="0"/>
      <w:marTop w:val="0"/>
      <w:marBottom w:val="0"/>
      <w:divBdr>
        <w:top w:val="none" w:sz="0" w:space="0" w:color="auto"/>
        <w:left w:val="none" w:sz="0" w:space="0" w:color="auto"/>
        <w:bottom w:val="none" w:sz="0" w:space="0" w:color="auto"/>
        <w:right w:val="none" w:sz="0" w:space="0" w:color="auto"/>
      </w:divBdr>
    </w:div>
    <w:div w:id="1686905491">
      <w:bodyDiv w:val="1"/>
      <w:marLeft w:val="0"/>
      <w:marRight w:val="0"/>
      <w:marTop w:val="0"/>
      <w:marBottom w:val="0"/>
      <w:divBdr>
        <w:top w:val="none" w:sz="0" w:space="0" w:color="auto"/>
        <w:left w:val="none" w:sz="0" w:space="0" w:color="auto"/>
        <w:bottom w:val="none" w:sz="0" w:space="0" w:color="auto"/>
        <w:right w:val="none" w:sz="0" w:space="0" w:color="auto"/>
      </w:divBdr>
    </w:div>
    <w:div w:id="1725567822">
      <w:bodyDiv w:val="1"/>
      <w:marLeft w:val="0"/>
      <w:marRight w:val="0"/>
      <w:marTop w:val="0"/>
      <w:marBottom w:val="0"/>
      <w:divBdr>
        <w:top w:val="none" w:sz="0" w:space="0" w:color="auto"/>
        <w:left w:val="none" w:sz="0" w:space="0" w:color="auto"/>
        <w:bottom w:val="none" w:sz="0" w:space="0" w:color="auto"/>
        <w:right w:val="none" w:sz="0" w:space="0" w:color="auto"/>
      </w:divBdr>
    </w:div>
    <w:div w:id="1728065896">
      <w:bodyDiv w:val="1"/>
      <w:marLeft w:val="0"/>
      <w:marRight w:val="0"/>
      <w:marTop w:val="0"/>
      <w:marBottom w:val="0"/>
      <w:divBdr>
        <w:top w:val="none" w:sz="0" w:space="0" w:color="auto"/>
        <w:left w:val="none" w:sz="0" w:space="0" w:color="auto"/>
        <w:bottom w:val="none" w:sz="0" w:space="0" w:color="auto"/>
        <w:right w:val="none" w:sz="0" w:space="0" w:color="auto"/>
      </w:divBdr>
    </w:div>
    <w:div w:id="1745906533">
      <w:bodyDiv w:val="1"/>
      <w:marLeft w:val="0"/>
      <w:marRight w:val="0"/>
      <w:marTop w:val="0"/>
      <w:marBottom w:val="0"/>
      <w:divBdr>
        <w:top w:val="none" w:sz="0" w:space="0" w:color="auto"/>
        <w:left w:val="none" w:sz="0" w:space="0" w:color="auto"/>
        <w:bottom w:val="none" w:sz="0" w:space="0" w:color="auto"/>
        <w:right w:val="none" w:sz="0" w:space="0" w:color="auto"/>
      </w:divBdr>
    </w:div>
    <w:div w:id="1761637681">
      <w:bodyDiv w:val="1"/>
      <w:marLeft w:val="0"/>
      <w:marRight w:val="0"/>
      <w:marTop w:val="0"/>
      <w:marBottom w:val="0"/>
      <w:divBdr>
        <w:top w:val="none" w:sz="0" w:space="0" w:color="auto"/>
        <w:left w:val="none" w:sz="0" w:space="0" w:color="auto"/>
        <w:bottom w:val="none" w:sz="0" w:space="0" w:color="auto"/>
        <w:right w:val="none" w:sz="0" w:space="0" w:color="auto"/>
      </w:divBdr>
    </w:div>
    <w:div w:id="1774401861">
      <w:bodyDiv w:val="1"/>
      <w:marLeft w:val="0"/>
      <w:marRight w:val="0"/>
      <w:marTop w:val="0"/>
      <w:marBottom w:val="0"/>
      <w:divBdr>
        <w:top w:val="none" w:sz="0" w:space="0" w:color="auto"/>
        <w:left w:val="none" w:sz="0" w:space="0" w:color="auto"/>
        <w:bottom w:val="none" w:sz="0" w:space="0" w:color="auto"/>
        <w:right w:val="none" w:sz="0" w:space="0" w:color="auto"/>
      </w:divBdr>
    </w:div>
    <w:div w:id="1802191354">
      <w:bodyDiv w:val="1"/>
      <w:marLeft w:val="0"/>
      <w:marRight w:val="0"/>
      <w:marTop w:val="0"/>
      <w:marBottom w:val="0"/>
      <w:divBdr>
        <w:top w:val="none" w:sz="0" w:space="0" w:color="auto"/>
        <w:left w:val="none" w:sz="0" w:space="0" w:color="auto"/>
        <w:bottom w:val="none" w:sz="0" w:space="0" w:color="auto"/>
        <w:right w:val="none" w:sz="0" w:space="0" w:color="auto"/>
      </w:divBdr>
    </w:div>
    <w:div w:id="1806971079">
      <w:bodyDiv w:val="1"/>
      <w:marLeft w:val="0"/>
      <w:marRight w:val="0"/>
      <w:marTop w:val="0"/>
      <w:marBottom w:val="0"/>
      <w:divBdr>
        <w:top w:val="none" w:sz="0" w:space="0" w:color="auto"/>
        <w:left w:val="none" w:sz="0" w:space="0" w:color="auto"/>
        <w:bottom w:val="none" w:sz="0" w:space="0" w:color="auto"/>
        <w:right w:val="none" w:sz="0" w:space="0" w:color="auto"/>
      </w:divBdr>
    </w:div>
    <w:div w:id="1810900204">
      <w:bodyDiv w:val="1"/>
      <w:marLeft w:val="0"/>
      <w:marRight w:val="0"/>
      <w:marTop w:val="0"/>
      <w:marBottom w:val="0"/>
      <w:divBdr>
        <w:top w:val="none" w:sz="0" w:space="0" w:color="auto"/>
        <w:left w:val="none" w:sz="0" w:space="0" w:color="auto"/>
        <w:bottom w:val="none" w:sz="0" w:space="0" w:color="auto"/>
        <w:right w:val="none" w:sz="0" w:space="0" w:color="auto"/>
      </w:divBdr>
    </w:div>
    <w:div w:id="1816679512">
      <w:bodyDiv w:val="1"/>
      <w:marLeft w:val="0"/>
      <w:marRight w:val="0"/>
      <w:marTop w:val="0"/>
      <w:marBottom w:val="0"/>
      <w:divBdr>
        <w:top w:val="none" w:sz="0" w:space="0" w:color="auto"/>
        <w:left w:val="none" w:sz="0" w:space="0" w:color="auto"/>
        <w:bottom w:val="none" w:sz="0" w:space="0" w:color="auto"/>
        <w:right w:val="none" w:sz="0" w:space="0" w:color="auto"/>
      </w:divBdr>
    </w:div>
    <w:div w:id="1820878128">
      <w:bodyDiv w:val="1"/>
      <w:marLeft w:val="0"/>
      <w:marRight w:val="0"/>
      <w:marTop w:val="0"/>
      <w:marBottom w:val="0"/>
      <w:divBdr>
        <w:top w:val="none" w:sz="0" w:space="0" w:color="auto"/>
        <w:left w:val="none" w:sz="0" w:space="0" w:color="auto"/>
        <w:bottom w:val="none" w:sz="0" w:space="0" w:color="auto"/>
        <w:right w:val="none" w:sz="0" w:space="0" w:color="auto"/>
      </w:divBdr>
    </w:div>
    <w:div w:id="1821849938">
      <w:bodyDiv w:val="1"/>
      <w:marLeft w:val="0"/>
      <w:marRight w:val="0"/>
      <w:marTop w:val="0"/>
      <w:marBottom w:val="0"/>
      <w:divBdr>
        <w:top w:val="none" w:sz="0" w:space="0" w:color="auto"/>
        <w:left w:val="none" w:sz="0" w:space="0" w:color="auto"/>
        <w:bottom w:val="none" w:sz="0" w:space="0" w:color="auto"/>
        <w:right w:val="none" w:sz="0" w:space="0" w:color="auto"/>
      </w:divBdr>
    </w:div>
    <w:div w:id="1822234481">
      <w:bodyDiv w:val="1"/>
      <w:marLeft w:val="0"/>
      <w:marRight w:val="0"/>
      <w:marTop w:val="0"/>
      <w:marBottom w:val="0"/>
      <w:divBdr>
        <w:top w:val="none" w:sz="0" w:space="0" w:color="auto"/>
        <w:left w:val="none" w:sz="0" w:space="0" w:color="auto"/>
        <w:bottom w:val="none" w:sz="0" w:space="0" w:color="auto"/>
        <w:right w:val="none" w:sz="0" w:space="0" w:color="auto"/>
      </w:divBdr>
    </w:div>
    <w:div w:id="1843351564">
      <w:bodyDiv w:val="1"/>
      <w:marLeft w:val="0"/>
      <w:marRight w:val="0"/>
      <w:marTop w:val="0"/>
      <w:marBottom w:val="0"/>
      <w:divBdr>
        <w:top w:val="none" w:sz="0" w:space="0" w:color="auto"/>
        <w:left w:val="none" w:sz="0" w:space="0" w:color="auto"/>
        <w:bottom w:val="none" w:sz="0" w:space="0" w:color="auto"/>
        <w:right w:val="none" w:sz="0" w:space="0" w:color="auto"/>
      </w:divBdr>
    </w:div>
    <w:div w:id="1847279326">
      <w:bodyDiv w:val="1"/>
      <w:marLeft w:val="0"/>
      <w:marRight w:val="0"/>
      <w:marTop w:val="0"/>
      <w:marBottom w:val="0"/>
      <w:divBdr>
        <w:top w:val="none" w:sz="0" w:space="0" w:color="auto"/>
        <w:left w:val="none" w:sz="0" w:space="0" w:color="auto"/>
        <w:bottom w:val="none" w:sz="0" w:space="0" w:color="auto"/>
        <w:right w:val="none" w:sz="0" w:space="0" w:color="auto"/>
      </w:divBdr>
    </w:div>
    <w:div w:id="1847284875">
      <w:bodyDiv w:val="1"/>
      <w:marLeft w:val="0"/>
      <w:marRight w:val="0"/>
      <w:marTop w:val="0"/>
      <w:marBottom w:val="0"/>
      <w:divBdr>
        <w:top w:val="none" w:sz="0" w:space="0" w:color="auto"/>
        <w:left w:val="none" w:sz="0" w:space="0" w:color="auto"/>
        <w:bottom w:val="none" w:sz="0" w:space="0" w:color="auto"/>
        <w:right w:val="none" w:sz="0" w:space="0" w:color="auto"/>
      </w:divBdr>
    </w:div>
    <w:div w:id="1851329880">
      <w:bodyDiv w:val="1"/>
      <w:marLeft w:val="0"/>
      <w:marRight w:val="0"/>
      <w:marTop w:val="0"/>
      <w:marBottom w:val="0"/>
      <w:divBdr>
        <w:top w:val="none" w:sz="0" w:space="0" w:color="auto"/>
        <w:left w:val="none" w:sz="0" w:space="0" w:color="auto"/>
        <w:bottom w:val="none" w:sz="0" w:space="0" w:color="auto"/>
        <w:right w:val="none" w:sz="0" w:space="0" w:color="auto"/>
      </w:divBdr>
    </w:div>
    <w:div w:id="1862816395">
      <w:bodyDiv w:val="1"/>
      <w:marLeft w:val="0"/>
      <w:marRight w:val="0"/>
      <w:marTop w:val="0"/>
      <w:marBottom w:val="0"/>
      <w:divBdr>
        <w:top w:val="none" w:sz="0" w:space="0" w:color="auto"/>
        <w:left w:val="none" w:sz="0" w:space="0" w:color="auto"/>
        <w:bottom w:val="none" w:sz="0" w:space="0" w:color="auto"/>
        <w:right w:val="none" w:sz="0" w:space="0" w:color="auto"/>
      </w:divBdr>
    </w:div>
    <w:div w:id="1866359712">
      <w:bodyDiv w:val="1"/>
      <w:marLeft w:val="0"/>
      <w:marRight w:val="0"/>
      <w:marTop w:val="0"/>
      <w:marBottom w:val="0"/>
      <w:divBdr>
        <w:top w:val="none" w:sz="0" w:space="0" w:color="auto"/>
        <w:left w:val="none" w:sz="0" w:space="0" w:color="auto"/>
        <w:bottom w:val="none" w:sz="0" w:space="0" w:color="auto"/>
        <w:right w:val="none" w:sz="0" w:space="0" w:color="auto"/>
      </w:divBdr>
    </w:div>
    <w:div w:id="1871992165">
      <w:bodyDiv w:val="1"/>
      <w:marLeft w:val="0"/>
      <w:marRight w:val="0"/>
      <w:marTop w:val="0"/>
      <w:marBottom w:val="0"/>
      <w:divBdr>
        <w:top w:val="none" w:sz="0" w:space="0" w:color="auto"/>
        <w:left w:val="none" w:sz="0" w:space="0" w:color="auto"/>
        <w:bottom w:val="none" w:sz="0" w:space="0" w:color="auto"/>
        <w:right w:val="none" w:sz="0" w:space="0" w:color="auto"/>
      </w:divBdr>
    </w:div>
    <w:div w:id="1877817448">
      <w:bodyDiv w:val="1"/>
      <w:marLeft w:val="0"/>
      <w:marRight w:val="0"/>
      <w:marTop w:val="0"/>
      <w:marBottom w:val="0"/>
      <w:divBdr>
        <w:top w:val="none" w:sz="0" w:space="0" w:color="auto"/>
        <w:left w:val="none" w:sz="0" w:space="0" w:color="auto"/>
        <w:bottom w:val="none" w:sz="0" w:space="0" w:color="auto"/>
        <w:right w:val="none" w:sz="0" w:space="0" w:color="auto"/>
      </w:divBdr>
    </w:div>
    <w:div w:id="1882745613">
      <w:bodyDiv w:val="1"/>
      <w:marLeft w:val="0"/>
      <w:marRight w:val="0"/>
      <w:marTop w:val="0"/>
      <w:marBottom w:val="0"/>
      <w:divBdr>
        <w:top w:val="none" w:sz="0" w:space="0" w:color="auto"/>
        <w:left w:val="none" w:sz="0" w:space="0" w:color="auto"/>
        <w:bottom w:val="none" w:sz="0" w:space="0" w:color="auto"/>
        <w:right w:val="none" w:sz="0" w:space="0" w:color="auto"/>
      </w:divBdr>
    </w:div>
    <w:div w:id="1901820510">
      <w:bodyDiv w:val="1"/>
      <w:marLeft w:val="0"/>
      <w:marRight w:val="0"/>
      <w:marTop w:val="0"/>
      <w:marBottom w:val="0"/>
      <w:divBdr>
        <w:top w:val="none" w:sz="0" w:space="0" w:color="auto"/>
        <w:left w:val="none" w:sz="0" w:space="0" w:color="auto"/>
        <w:bottom w:val="none" w:sz="0" w:space="0" w:color="auto"/>
        <w:right w:val="none" w:sz="0" w:space="0" w:color="auto"/>
      </w:divBdr>
    </w:div>
    <w:div w:id="1903515427">
      <w:bodyDiv w:val="1"/>
      <w:marLeft w:val="0"/>
      <w:marRight w:val="0"/>
      <w:marTop w:val="0"/>
      <w:marBottom w:val="0"/>
      <w:divBdr>
        <w:top w:val="none" w:sz="0" w:space="0" w:color="auto"/>
        <w:left w:val="none" w:sz="0" w:space="0" w:color="auto"/>
        <w:bottom w:val="none" w:sz="0" w:space="0" w:color="auto"/>
        <w:right w:val="none" w:sz="0" w:space="0" w:color="auto"/>
      </w:divBdr>
    </w:div>
    <w:div w:id="1903558825">
      <w:bodyDiv w:val="1"/>
      <w:marLeft w:val="0"/>
      <w:marRight w:val="0"/>
      <w:marTop w:val="0"/>
      <w:marBottom w:val="0"/>
      <w:divBdr>
        <w:top w:val="none" w:sz="0" w:space="0" w:color="auto"/>
        <w:left w:val="none" w:sz="0" w:space="0" w:color="auto"/>
        <w:bottom w:val="none" w:sz="0" w:space="0" w:color="auto"/>
        <w:right w:val="none" w:sz="0" w:space="0" w:color="auto"/>
      </w:divBdr>
    </w:div>
    <w:div w:id="1903712796">
      <w:bodyDiv w:val="1"/>
      <w:marLeft w:val="0"/>
      <w:marRight w:val="0"/>
      <w:marTop w:val="0"/>
      <w:marBottom w:val="0"/>
      <w:divBdr>
        <w:top w:val="none" w:sz="0" w:space="0" w:color="auto"/>
        <w:left w:val="none" w:sz="0" w:space="0" w:color="auto"/>
        <w:bottom w:val="none" w:sz="0" w:space="0" w:color="auto"/>
        <w:right w:val="none" w:sz="0" w:space="0" w:color="auto"/>
      </w:divBdr>
    </w:div>
    <w:div w:id="1912694696">
      <w:bodyDiv w:val="1"/>
      <w:marLeft w:val="0"/>
      <w:marRight w:val="0"/>
      <w:marTop w:val="0"/>
      <w:marBottom w:val="0"/>
      <w:divBdr>
        <w:top w:val="none" w:sz="0" w:space="0" w:color="auto"/>
        <w:left w:val="none" w:sz="0" w:space="0" w:color="auto"/>
        <w:bottom w:val="none" w:sz="0" w:space="0" w:color="auto"/>
        <w:right w:val="none" w:sz="0" w:space="0" w:color="auto"/>
      </w:divBdr>
      <w:divsChild>
        <w:div w:id="325937853">
          <w:marLeft w:val="0"/>
          <w:marRight w:val="0"/>
          <w:marTop w:val="0"/>
          <w:marBottom w:val="0"/>
          <w:divBdr>
            <w:top w:val="none" w:sz="0" w:space="0" w:color="auto"/>
            <w:left w:val="none" w:sz="0" w:space="0" w:color="auto"/>
            <w:bottom w:val="none" w:sz="0" w:space="0" w:color="auto"/>
            <w:right w:val="none" w:sz="0" w:space="0" w:color="auto"/>
          </w:divBdr>
          <w:divsChild>
            <w:div w:id="1369799856">
              <w:marLeft w:val="60"/>
              <w:marRight w:val="60"/>
              <w:marTop w:val="0"/>
              <w:marBottom w:val="60"/>
              <w:divBdr>
                <w:top w:val="none" w:sz="0" w:space="0" w:color="auto"/>
                <w:left w:val="none" w:sz="0" w:space="0" w:color="auto"/>
                <w:bottom w:val="none" w:sz="0" w:space="0" w:color="auto"/>
                <w:right w:val="none" w:sz="0" w:space="0" w:color="auto"/>
              </w:divBdr>
              <w:divsChild>
                <w:div w:id="549463261">
                  <w:marLeft w:val="0"/>
                  <w:marRight w:val="0"/>
                  <w:marTop w:val="0"/>
                  <w:marBottom w:val="0"/>
                  <w:divBdr>
                    <w:top w:val="none" w:sz="0" w:space="0" w:color="auto"/>
                    <w:left w:val="none" w:sz="0" w:space="0" w:color="auto"/>
                    <w:bottom w:val="none" w:sz="0" w:space="0" w:color="auto"/>
                    <w:right w:val="none" w:sz="0" w:space="0" w:color="auto"/>
                  </w:divBdr>
                  <w:divsChild>
                    <w:div w:id="217672085">
                      <w:marLeft w:val="0"/>
                      <w:marRight w:val="0"/>
                      <w:marTop w:val="0"/>
                      <w:marBottom w:val="0"/>
                      <w:divBdr>
                        <w:top w:val="none" w:sz="0" w:space="0" w:color="auto"/>
                        <w:left w:val="none" w:sz="0" w:space="0" w:color="auto"/>
                        <w:bottom w:val="none" w:sz="0" w:space="0" w:color="auto"/>
                        <w:right w:val="none" w:sz="0" w:space="0" w:color="auto"/>
                      </w:divBdr>
                      <w:divsChild>
                        <w:div w:id="957684384">
                          <w:marLeft w:val="0"/>
                          <w:marRight w:val="0"/>
                          <w:marTop w:val="0"/>
                          <w:marBottom w:val="0"/>
                          <w:divBdr>
                            <w:top w:val="none" w:sz="0" w:space="0" w:color="auto"/>
                            <w:left w:val="none" w:sz="0" w:space="0" w:color="auto"/>
                            <w:bottom w:val="none" w:sz="0" w:space="0" w:color="auto"/>
                            <w:right w:val="none" w:sz="0" w:space="0" w:color="auto"/>
                          </w:divBdr>
                          <w:divsChild>
                            <w:div w:id="752551227">
                              <w:marLeft w:val="0"/>
                              <w:marRight w:val="0"/>
                              <w:marTop w:val="0"/>
                              <w:marBottom w:val="0"/>
                              <w:divBdr>
                                <w:top w:val="none" w:sz="0" w:space="0" w:color="auto"/>
                                <w:left w:val="none" w:sz="0" w:space="0" w:color="auto"/>
                                <w:bottom w:val="none" w:sz="0" w:space="0" w:color="auto"/>
                                <w:right w:val="none" w:sz="0" w:space="0" w:color="auto"/>
                              </w:divBdr>
                              <w:divsChild>
                                <w:div w:id="140721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4318999">
      <w:bodyDiv w:val="1"/>
      <w:marLeft w:val="0"/>
      <w:marRight w:val="0"/>
      <w:marTop w:val="0"/>
      <w:marBottom w:val="0"/>
      <w:divBdr>
        <w:top w:val="none" w:sz="0" w:space="0" w:color="auto"/>
        <w:left w:val="none" w:sz="0" w:space="0" w:color="auto"/>
        <w:bottom w:val="none" w:sz="0" w:space="0" w:color="auto"/>
        <w:right w:val="none" w:sz="0" w:space="0" w:color="auto"/>
      </w:divBdr>
    </w:div>
    <w:div w:id="1948346492">
      <w:bodyDiv w:val="1"/>
      <w:marLeft w:val="0"/>
      <w:marRight w:val="0"/>
      <w:marTop w:val="0"/>
      <w:marBottom w:val="0"/>
      <w:divBdr>
        <w:top w:val="none" w:sz="0" w:space="0" w:color="auto"/>
        <w:left w:val="none" w:sz="0" w:space="0" w:color="auto"/>
        <w:bottom w:val="none" w:sz="0" w:space="0" w:color="auto"/>
        <w:right w:val="none" w:sz="0" w:space="0" w:color="auto"/>
      </w:divBdr>
    </w:div>
    <w:div w:id="1953975415">
      <w:bodyDiv w:val="1"/>
      <w:marLeft w:val="0"/>
      <w:marRight w:val="0"/>
      <w:marTop w:val="0"/>
      <w:marBottom w:val="0"/>
      <w:divBdr>
        <w:top w:val="none" w:sz="0" w:space="0" w:color="auto"/>
        <w:left w:val="none" w:sz="0" w:space="0" w:color="auto"/>
        <w:bottom w:val="none" w:sz="0" w:space="0" w:color="auto"/>
        <w:right w:val="none" w:sz="0" w:space="0" w:color="auto"/>
      </w:divBdr>
    </w:div>
    <w:div w:id="1957058678">
      <w:bodyDiv w:val="1"/>
      <w:marLeft w:val="0"/>
      <w:marRight w:val="0"/>
      <w:marTop w:val="0"/>
      <w:marBottom w:val="0"/>
      <w:divBdr>
        <w:top w:val="none" w:sz="0" w:space="0" w:color="auto"/>
        <w:left w:val="none" w:sz="0" w:space="0" w:color="auto"/>
        <w:bottom w:val="none" w:sz="0" w:space="0" w:color="auto"/>
        <w:right w:val="none" w:sz="0" w:space="0" w:color="auto"/>
      </w:divBdr>
    </w:div>
    <w:div w:id="1957172274">
      <w:bodyDiv w:val="1"/>
      <w:marLeft w:val="0"/>
      <w:marRight w:val="0"/>
      <w:marTop w:val="0"/>
      <w:marBottom w:val="0"/>
      <w:divBdr>
        <w:top w:val="none" w:sz="0" w:space="0" w:color="auto"/>
        <w:left w:val="none" w:sz="0" w:space="0" w:color="auto"/>
        <w:bottom w:val="none" w:sz="0" w:space="0" w:color="auto"/>
        <w:right w:val="none" w:sz="0" w:space="0" w:color="auto"/>
      </w:divBdr>
    </w:div>
    <w:div w:id="1983340797">
      <w:bodyDiv w:val="1"/>
      <w:marLeft w:val="0"/>
      <w:marRight w:val="0"/>
      <w:marTop w:val="0"/>
      <w:marBottom w:val="0"/>
      <w:divBdr>
        <w:top w:val="none" w:sz="0" w:space="0" w:color="auto"/>
        <w:left w:val="none" w:sz="0" w:space="0" w:color="auto"/>
        <w:bottom w:val="none" w:sz="0" w:space="0" w:color="auto"/>
        <w:right w:val="none" w:sz="0" w:space="0" w:color="auto"/>
      </w:divBdr>
    </w:div>
    <w:div w:id="1989742231">
      <w:bodyDiv w:val="1"/>
      <w:marLeft w:val="0"/>
      <w:marRight w:val="0"/>
      <w:marTop w:val="0"/>
      <w:marBottom w:val="0"/>
      <w:divBdr>
        <w:top w:val="none" w:sz="0" w:space="0" w:color="auto"/>
        <w:left w:val="none" w:sz="0" w:space="0" w:color="auto"/>
        <w:bottom w:val="none" w:sz="0" w:space="0" w:color="auto"/>
        <w:right w:val="none" w:sz="0" w:space="0" w:color="auto"/>
      </w:divBdr>
    </w:div>
    <w:div w:id="1996832092">
      <w:bodyDiv w:val="1"/>
      <w:marLeft w:val="0"/>
      <w:marRight w:val="0"/>
      <w:marTop w:val="0"/>
      <w:marBottom w:val="0"/>
      <w:divBdr>
        <w:top w:val="none" w:sz="0" w:space="0" w:color="auto"/>
        <w:left w:val="none" w:sz="0" w:space="0" w:color="auto"/>
        <w:bottom w:val="none" w:sz="0" w:space="0" w:color="auto"/>
        <w:right w:val="none" w:sz="0" w:space="0" w:color="auto"/>
      </w:divBdr>
    </w:div>
    <w:div w:id="1998681724">
      <w:bodyDiv w:val="1"/>
      <w:marLeft w:val="0"/>
      <w:marRight w:val="0"/>
      <w:marTop w:val="0"/>
      <w:marBottom w:val="0"/>
      <w:divBdr>
        <w:top w:val="none" w:sz="0" w:space="0" w:color="auto"/>
        <w:left w:val="none" w:sz="0" w:space="0" w:color="auto"/>
        <w:bottom w:val="none" w:sz="0" w:space="0" w:color="auto"/>
        <w:right w:val="none" w:sz="0" w:space="0" w:color="auto"/>
      </w:divBdr>
    </w:div>
    <w:div w:id="2018605796">
      <w:bodyDiv w:val="1"/>
      <w:marLeft w:val="0"/>
      <w:marRight w:val="0"/>
      <w:marTop w:val="0"/>
      <w:marBottom w:val="0"/>
      <w:divBdr>
        <w:top w:val="none" w:sz="0" w:space="0" w:color="auto"/>
        <w:left w:val="none" w:sz="0" w:space="0" w:color="auto"/>
        <w:bottom w:val="none" w:sz="0" w:space="0" w:color="auto"/>
        <w:right w:val="none" w:sz="0" w:space="0" w:color="auto"/>
      </w:divBdr>
    </w:div>
    <w:div w:id="2019427667">
      <w:bodyDiv w:val="1"/>
      <w:marLeft w:val="0"/>
      <w:marRight w:val="0"/>
      <w:marTop w:val="0"/>
      <w:marBottom w:val="0"/>
      <w:divBdr>
        <w:top w:val="none" w:sz="0" w:space="0" w:color="auto"/>
        <w:left w:val="none" w:sz="0" w:space="0" w:color="auto"/>
        <w:bottom w:val="none" w:sz="0" w:space="0" w:color="auto"/>
        <w:right w:val="none" w:sz="0" w:space="0" w:color="auto"/>
      </w:divBdr>
    </w:div>
    <w:div w:id="2031031975">
      <w:bodyDiv w:val="1"/>
      <w:marLeft w:val="0"/>
      <w:marRight w:val="0"/>
      <w:marTop w:val="0"/>
      <w:marBottom w:val="0"/>
      <w:divBdr>
        <w:top w:val="none" w:sz="0" w:space="0" w:color="auto"/>
        <w:left w:val="none" w:sz="0" w:space="0" w:color="auto"/>
        <w:bottom w:val="none" w:sz="0" w:space="0" w:color="auto"/>
        <w:right w:val="none" w:sz="0" w:space="0" w:color="auto"/>
      </w:divBdr>
    </w:div>
    <w:div w:id="2047178106">
      <w:bodyDiv w:val="1"/>
      <w:marLeft w:val="0"/>
      <w:marRight w:val="0"/>
      <w:marTop w:val="0"/>
      <w:marBottom w:val="0"/>
      <w:divBdr>
        <w:top w:val="none" w:sz="0" w:space="0" w:color="auto"/>
        <w:left w:val="none" w:sz="0" w:space="0" w:color="auto"/>
        <w:bottom w:val="none" w:sz="0" w:space="0" w:color="auto"/>
        <w:right w:val="none" w:sz="0" w:space="0" w:color="auto"/>
      </w:divBdr>
    </w:div>
    <w:div w:id="2049916965">
      <w:bodyDiv w:val="1"/>
      <w:marLeft w:val="0"/>
      <w:marRight w:val="0"/>
      <w:marTop w:val="0"/>
      <w:marBottom w:val="0"/>
      <w:divBdr>
        <w:top w:val="none" w:sz="0" w:space="0" w:color="auto"/>
        <w:left w:val="none" w:sz="0" w:space="0" w:color="auto"/>
        <w:bottom w:val="none" w:sz="0" w:space="0" w:color="auto"/>
        <w:right w:val="none" w:sz="0" w:space="0" w:color="auto"/>
      </w:divBdr>
    </w:div>
    <w:div w:id="2049986506">
      <w:bodyDiv w:val="1"/>
      <w:marLeft w:val="0"/>
      <w:marRight w:val="0"/>
      <w:marTop w:val="0"/>
      <w:marBottom w:val="0"/>
      <w:divBdr>
        <w:top w:val="none" w:sz="0" w:space="0" w:color="auto"/>
        <w:left w:val="none" w:sz="0" w:space="0" w:color="auto"/>
        <w:bottom w:val="none" w:sz="0" w:space="0" w:color="auto"/>
        <w:right w:val="none" w:sz="0" w:space="0" w:color="auto"/>
      </w:divBdr>
    </w:div>
    <w:div w:id="2050294544">
      <w:bodyDiv w:val="1"/>
      <w:marLeft w:val="0"/>
      <w:marRight w:val="0"/>
      <w:marTop w:val="0"/>
      <w:marBottom w:val="0"/>
      <w:divBdr>
        <w:top w:val="none" w:sz="0" w:space="0" w:color="auto"/>
        <w:left w:val="none" w:sz="0" w:space="0" w:color="auto"/>
        <w:bottom w:val="none" w:sz="0" w:space="0" w:color="auto"/>
        <w:right w:val="none" w:sz="0" w:space="0" w:color="auto"/>
      </w:divBdr>
    </w:div>
    <w:div w:id="2080982397">
      <w:bodyDiv w:val="1"/>
      <w:marLeft w:val="0"/>
      <w:marRight w:val="0"/>
      <w:marTop w:val="0"/>
      <w:marBottom w:val="0"/>
      <w:divBdr>
        <w:top w:val="none" w:sz="0" w:space="0" w:color="auto"/>
        <w:left w:val="none" w:sz="0" w:space="0" w:color="auto"/>
        <w:bottom w:val="none" w:sz="0" w:space="0" w:color="auto"/>
        <w:right w:val="none" w:sz="0" w:space="0" w:color="auto"/>
      </w:divBdr>
    </w:div>
    <w:div w:id="2083410354">
      <w:bodyDiv w:val="1"/>
      <w:marLeft w:val="0"/>
      <w:marRight w:val="0"/>
      <w:marTop w:val="0"/>
      <w:marBottom w:val="0"/>
      <w:divBdr>
        <w:top w:val="none" w:sz="0" w:space="0" w:color="auto"/>
        <w:left w:val="none" w:sz="0" w:space="0" w:color="auto"/>
        <w:bottom w:val="none" w:sz="0" w:space="0" w:color="auto"/>
        <w:right w:val="none" w:sz="0" w:space="0" w:color="auto"/>
      </w:divBdr>
    </w:div>
    <w:div w:id="2090106780">
      <w:bodyDiv w:val="1"/>
      <w:marLeft w:val="0"/>
      <w:marRight w:val="0"/>
      <w:marTop w:val="0"/>
      <w:marBottom w:val="0"/>
      <w:divBdr>
        <w:top w:val="none" w:sz="0" w:space="0" w:color="auto"/>
        <w:left w:val="none" w:sz="0" w:space="0" w:color="auto"/>
        <w:bottom w:val="none" w:sz="0" w:space="0" w:color="auto"/>
        <w:right w:val="none" w:sz="0" w:space="0" w:color="auto"/>
      </w:divBdr>
    </w:div>
    <w:div w:id="2092196111">
      <w:bodyDiv w:val="1"/>
      <w:marLeft w:val="0"/>
      <w:marRight w:val="0"/>
      <w:marTop w:val="0"/>
      <w:marBottom w:val="0"/>
      <w:divBdr>
        <w:top w:val="none" w:sz="0" w:space="0" w:color="auto"/>
        <w:left w:val="none" w:sz="0" w:space="0" w:color="auto"/>
        <w:bottom w:val="none" w:sz="0" w:space="0" w:color="auto"/>
        <w:right w:val="none" w:sz="0" w:space="0" w:color="auto"/>
      </w:divBdr>
    </w:div>
    <w:div w:id="2093966508">
      <w:bodyDiv w:val="1"/>
      <w:marLeft w:val="0"/>
      <w:marRight w:val="0"/>
      <w:marTop w:val="0"/>
      <w:marBottom w:val="0"/>
      <w:divBdr>
        <w:top w:val="none" w:sz="0" w:space="0" w:color="auto"/>
        <w:left w:val="none" w:sz="0" w:space="0" w:color="auto"/>
        <w:bottom w:val="none" w:sz="0" w:space="0" w:color="auto"/>
        <w:right w:val="none" w:sz="0" w:space="0" w:color="auto"/>
      </w:divBdr>
    </w:div>
    <w:div w:id="2095541002">
      <w:bodyDiv w:val="1"/>
      <w:marLeft w:val="0"/>
      <w:marRight w:val="0"/>
      <w:marTop w:val="0"/>
      <w:marBottom w:val="0"/>
      <w:divBdr>
        <w:top w:val="none" w:sz="0" w:space="0" w:color="auto"/>
        <w:left w:val="none" w:sz="0" w:space="0" w:color="auto"/>
        <w:bottom w:val="none" w:sz="0" w:space="0" w:color="auto"/>
        <w:right w:val="none" w:sz="0" w:space="0" w:color="auto"/>
      </w:divBdr>
    </w:div>
    <w:div w:id="2100324848">
      <w:bodyDiv w:val="1"/>
      <w:marLeft w:val="0"/>
      <w:marRight w:val="0"/>
      <w:marTop w:val="0"/>
      <w:marBottom w:val="0"/>
      <w:divBdr>
        <w:top w:val="none" w:sz="0" w:space="0" w:color="auto"/>
        <w:left w:val="none" w:sz="0" w:space="0" w:color="auto"/>
        <w:bottom w:val="none" w:sz="0" w:space="0" w:color="auto"/>
        <w:right w:val="none" w:sz="0" w:space="0" w:color="auto"/>
      </w:divBdr>
    </w:div>
    <w:div w:id="2109933309">
      <w:bodyDiv w:val="1"/>
      <w:marLeft w:val="0"/>
      <w:marRight w:val="0"/>
      <w:marTop w:val="0"/>
      <w:marBottom w:val="0"/>
      <w:divBdr>
        <w:top w:val="none" w:sz="0" w:space="0" w:color="auto"/>
        <w:left w:val="none" w:sz="0" w:space="0" w:color="auto"/>
        <w:bottom w:val="none" w:sz="0" w:space="0" w:color="auto"/>
        <w:right w:val="none" w:sz="0" w:space="0" w:color="auto"/>
      </w:divBdr>
    </w:div>
    <w:div w:id="21140818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footer" Target="footer8.xml"/><Relationship Id="rId42" Type="http://schemas.openxmlformats.org/officeDocument/2006/relationships/image" Target="media/image23.emf"/><Relationship Id="rId47" Type="http://schemas.openxmlformats.org/officeDocument/2006/relationships/footer" Target="footer13.xml"/><Relationship Id="rId63" Type="http://schemas.openxmlformats.org/officeDocument/2006/relationships/image" Target="media/image41.png"/><Relationship Id="rId68" Type="http://schemas.openxmlformats.org/officeDocument/2006/relationships/image" Target="media/image46.emf"/><Relationship Id="rId84" Type="http://schemas.openxmlformats.org/officeDocument/2006/relationships/image" Target="media/image62.emf"/><Relationship Id="rId89" Type="http://schemas.openxmlformats.org/officeDocument/2006/relationships/fontTable" Target="fontTable.xml"/><Relationship Id="rId16" Type="http://schemas.openxmlformats.org/officeDocument/2006/relationships/footer" Target="footer6.xml"/><Relationship Id="rId11" Type="http://schemas.openxmlformats.org/officeDocument/2006/relationships/footer" Target="footer4.xml"/><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emf"/><Relationship Id="rId74" Type="http://schemas.openxmlformats.org/officeDocument/2006/relationships/image" Target="media/image52.emf"/><Relationship Id="rId79" Type="http://schemas.openxmlformats.org/officeDocument/2006/relationships/image" Target="media/image57.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4.emf"/><Relationship Id="rId64" Type="http://schemas.openxmlformats.org/officeDocument/2006/relationships/image" Target="media/image42.emf"/><Relationship Id="rId69" Type="http://schemas.openxmlformats.org/officeDocument/2006/relationships/image" Target="media/image47.emf"/><Relationship Id="rId77" Type="http://schemas.openxmlformats.org/officeDocument/2006/relationships/image" Target="media/image55.emf"/><Relationship Id="rId8" Type="http://schemas.openxmlformats.org/officeDocument/2006/relationships/footer" Target="footer1.xml"/><Relationship Id="rId51" Type="http://schemas.openxmlformats.org/officeDocument/2006/relationships/image" Target="media/image30.emf"/><Relationship Id="rId72" Type="http://schemas.openxmlformats.org/officeDocument/2006/relationships/image" Target="media/image50.emf"/><Relationship Id="rId80" Type="http://schemas.openxmlformats.org/officeDocument/2006/relationships/image" Target="media/image58.png"/><Relationship Id="rId85"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3.png"/><Relationship Id="rId25" Type="http://schemas.openxmlformats.org/officeDocument/2006/relationships/footer" Target="footer11.xml"/><Relationship Id="rId33" Type="http://schemas.openxmlformats.org/officeDocument/2006/relationships/image" Target="media/image14.emf"/><Relationship Id="rId38" Type="http://schemas.openxmlformats.org/officeDocument/2006/relationships/image" Target="media/image19.png"/><Relationship Id="rId46" Type="http://schemas.openxmlformats.org/officeDocument/2006/relationships/image" Target="media/image26.emf"/><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2.png"/><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image" Target="media/image48.emf"/><Relationship Id="rId75" Type="http://schemas.openxmlformats.org/officeDocument/2006/relationships/image" Target="media/image53.emf"/><Relationship Id="rId83" Type="http://schemas.openxmlformats.org/officeDocument/2006/relationships/image" Target="media/image61.emf"/><Relationship Id="rId88"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footer" Target="footer9.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8.png"/><Relationship Id="rId57" Type="http://schemas.openxmlformats.org/officeDocument/2006/relationships/image" Target="media/image35.png"/><Relationship Id="rId10" Type="http://schemas.openxmlformats.org/officeDocument/2006/relationships/footer" Target="footer3.xml"/><Relationship Id="rId31" Type="http://schemas.openxmlformats.org/officeDocument/2006/relationships/image" Target="media/image12.emf"/><Relationship Id="rId44" Type="http://schemas.openxmlformats.org/officeDocument/2006/relationships/image" Target="media/image25.png"/><Relationship Id="rId52" Type="http://schemas.openxmlformats.org/officeDocument/2006/relationships/footer" Target="footer14.xml"/><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image" Target="media/image51.emf"/><Relationship Id="rId78" Type="http://schemas.openxmlformats.org/officeDocument/2006/relationships/image" Target="media/image56.emf"/><Relationship Id="rId81" Type="http://schemas.openxmlformats.org/officeDocument/2006/relationships/image" Target="media/image59.emf"/><Relationship Id="rId86" Type="http://schemas.openxmlformats.org/officeDocument/2006/relationships/image" Target="media/image64.emf"/><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2.emf"/><Relationship Id="rId18" Type="http://schemas.openxmlformats.org/officeDocument/2006/relationships/image" Target="media/image4.png"/><Relationship Id="rId39" Type="http://schemas.openxmlformats.org/officeDocument/2006/relationships/image" Target="media/image20.png"/><Relationship Id="rId34" Type="http://schemas.openxmlformats.org/officeDocument/2006/relationships/image" Target="media/image15.emf"/><Relationship Id="rId50" Type="http://schemas.openxmlformats.org/officeDocument/2006/relationships/image" Target="media/image29.emf"/><Relationship Id="rId55" Type="http://schemas.openxmlformats.org/officeDocument/2006/relationships/image" Target="media/image33.png"/><Relationship Id="rId76"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image" Target="media/image49.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footer" Target="footer10.xml"/><Relationship Id="rId40" Type="http://schemas.openxmlformats.org/officeDocument/2006/relationships/image" Target="media/image21.png"/><Relationship Id="rId45" Type="http://schemas.openxmlformats.org/officeDocument/2006/relationships/footer" Target="footer12.xml"/><Relationship Id="rId66" Type="http://schemas.openxmlformats.org/officeDocument/2006/relationships/image" Target="media/image44.emf"/><Relationship Id="rId87" Type="http://schemas.openxmlformats.org/officeDocument/2006/relationships/image" Target="media/image65.png"/><Relationship Id="rId61" Type="http://schemas.openxmlformats.org/officeDocument/2006/relationships/image" Target="media/image39.emf"/><Relationship Id="rId82" Type="http://schemas.openxmlformats.org/officeDocument/2006/relationships/image" Target="media/image60.png"/><Relationship Id="rId19" Type="http://schemas.openxmlformats.org/officeDocument/2006/relationships/footer" Target="footer7.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1A0E32-7057-4786-9665-9B3D4064B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2436</TotalTime>
  <Pages>72</Pages>
  <Words>26968</Words>
  <Characters>159116</Characters>
  <Application>Microsoft Office Word</Application>
  <DocSecurity>0</DocSecurity>
  <Lines>1325</Lines>
  <Paragraphs>371</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185713</CharactersWithSpaces>
  <SharedDoc>false</SharedDoc>
  <HLinks>
    <vt:vector size="702" baseType="variant">
      <vt:variant>
        <vt:i4>1572913</vt:i4>
      </vt:variant>
      <vt:variant>
        <vt:i4>704</vt:i4>
      </vt:variant>
      <vt:variant>
        <vt:i4>0</vt:i4>
      </vt:variant>
      <vt:variant>
        <vt:i4>5</vt:i4>
      </vt:variant>
      <vt:variant>
        <vt:lpwstr/>
      </vt:variant>
      <vt:variant>
        <vt:lpwstr>_Toc175828786</vt:lpwstr>
      </vt:variant>
      <vt:variant>
        <vt:i4>1572913</vt:i4>
      </vt:variant>
      <vt:variant>
        <vt:i4>698</vt:i4>
      </vt:variant>
      <vt:variant>
        <vt:i4>0</vt:i4>
      </vt:variant>
      <vt:variant>
        <vt:i4>5</vt:i4>
      </vt:variant>
      <vt:variant>
        <vt:lpwstr/>
      </vt:variant>
      <vt:variant>
        <vt:lpwstr>_Toc175828785</vt:lpwstr>
      </vt:variant>
      <vt:variant>
        <vt:i4>1572913</vt:i4>
      </vt:variant>
      <vt:variant>
        <vt:i4>692</vt:i4>
      </vt:variant>
      <vt:variant>
        <vt:i4>0</vt:i4>
      </vt:variant>
      <vt:variant>
        <vt:i4>5</vt:i4>
      </vt:variant>
      <vt:variant>
        <vt:lpwstr/>
      </vt:variant>
      <vt:variant>
        <vt:lpwstr>_Toc175828784</vt:lpwstr>
      </vt:variant>
      <vt:variant>
        <vt:i4>1572913</vt:i4>
      </vt:variant>
      <vt:variant>
        <vt:i4>686</vt:i4>
      </vt:variant>
      <vt:variant>
        <vt:i4>0</vt:i4>
      </vt:variant>
      <vt:variant>
        <vt:i4>5</vt:i4>
      </vt:variant>
      <vt:variant>
        <vt:lpwstr/>
      </vt:variant>
      <vt:variant>
        <vt:lpwstr>_Toc175828783</vt:lpwstr>
      </vt:variant>
      <vt:variant>
        <vt:i4>1572913</vt:i4>
      </vt:variant>
      <vt:variant>
        <vt:i4>680</vt:i4>
      </vt:variant>
      <vt:variant>
        <vt:i4>0</vt:i4>
      </vt:variant>
      <vt:variant>
        <vt:i4>5</vt:i4>
      </vt:variant>
      <vt:variant>
        <vt:lpwstr/>
      </vt:variant>
      <vt:variant>
        <vt:lpwstr>_Toc175828782</vt:lpwstr>
      </vt:variant>
      <vt:variant>
        <vt:i4>1572913</vt:i4>
      </vt:variant>
      <vt:variant>
        <vt:i4>674</vt:i4>
      </vt:variant>
      <vt:variant>
        <vt:i4>0</vt:i4>
      </vt:variant>
      <vt:variant>
        <vt:i4>5</vt:i4>
      </vt:variant>
      <vt:variant>
        <vt:lpwstr/>
      </vt:variant>
      <vt:variant>
        <vt:lpwstr>_Toc175828781</vt:lpwstr>
      </vt:variant>
      <vt:variant>
        <vt:i4>1572913</vt:i4>
      </vt:variant>
      <vt:variant>
        <vt:i4>668</vt:i4>
      </vt:variant>
      <vt:variant>
        <vt:i4>0</vt:i4>
      </vt:variant>
      <vt:variant>
        <vt:i4>5</vt:i4>
      </vt:variant>
      <vt:variant>
        <vt:lpwstr/>
      </vt:variant>
      <vt:variant>
        <vt:lpwstr>_Toc175828780</vt:lpwstr>
      </vt:variant>
      <vt:variant>
        <vt:i4>1507377</vt:i4>
      </vt:variant>
      <vt:variant>
        <vt:i4>662</vt:i4>
      </vt:variant>
      <vt:variant>
        <vt:i4>0</vt:i4>
      </vt:variant>
      <vt:variant>
        <vt:i4>5</vt:i4>
      </vt:variant>
      <vt:variant>
        <vt:lpwstr/>
      </vt:variant>
      <vt:variant>
        <vt:lpwstr>_Toc175828779</vt:lpwstr>
      </vt:variant>
      <vt:variant>
        <vt:i4>1507377</vt:i4>
      </vt:variant>
      <vt:variant>
        <vt:i4>656</vt:i4>
      </vt:variant>
      <vt:variant>
        <vt:i4>0</vt:i4>
      </vt:variant>
      <vt:variant>
        <vt:i4>5</vt:i4>
      </vt:variant>
      <vt:variant>
        <vt:lpwstr/>
      </vt:variant>
      <vt:variant>
        <vt:lpwstr>_Toc175828778</vt:lpwstr>
      </vt:variant>
      <vt:variant>
        <vt:i4>1507377</vt:i4>
      </vt:variant>
      <vt:variant>
        <vt:i4>650</vt:i4>
      </vt:variant>
      <vt:variant>
        <vt:i4>0</vt:i4>
      </vt:variant>
      <vt:variant>
        <vt:i4>5</vt:i4>
      </vt:variant>
      <vt:variant>
        <vt:lpwstr/>
      </vt:variant>
      <vt:variant>
        <vt:lpwstr>_Toc175828777</vt:lpwstr>
      </vt:variant>
      <vt:variant>
        <vt:i4>1507377</vt:i4>
      </vt:variant>
      <vt:variant>
        <vt:i4>644</vt:i4>
      </vt:variant>
      <vt:variant>
        <vt:i4>0</vt:i4>
      </vt:variant>
      <vt:variant>
        <vt:i4>5</vt:i4>
      </vt:variant>
      <vt:variant>
        <vt:lpwstr/>
      </vt:variant>
      <vt:variant>
        <vt:lpwstr>_Toc175828776</vt:lpwstr>
      </vt:variant>
      <vt:variant>
        <vt:i4>1507377</vt:i4>
      </vt:variant>
      <vt:variant>
        <vt:i4>638</vt:i4>
      </vt:variant>
      <vt:variant>
        <vt:i4>0</vt:i4>
      </vt:variant>
      <vt:variant>
        <vt:i4>5</vt:i4>
      </vt:variant>
      <vt:variant>
        <vt:lpwstr/>
      </vt:variant>
      <vt:variant>
        <vt:lpwstr>_Toc175828775</vt:lpwstr>
      </vt:variant>
      <vt:variant>
        <vt:i4>1507377</vt:i4>
      </vt:variant>
      <vt:variant>
        <vt:i4>632</vt:i4>
      </vt:variant>
      <vt:variant>
        <vt:i4>0</vt:i4>
      </vt:variant>
      <vt:variant>
        <vt:i4>5</vt:i4>
      </vt:variant>
      <vt:variant>
        <vt:lpwstr/>
      </vt:variant>
      <vt:variant>
        <vt:lpwstr>_Toc175828774</vt:lpwstr>
      </vt:variant>
      <vt:variant>
        <vt:i4>1507377</vt:i4>
      </vt:variant>
      <vt:variant>
        <vt:i4>626</vt:i4>
      </vt:variant>
      <vt:variant>
        <vt:i4>0</vt:i4>
      </vt:variant>
      <vt:variant>
        <vt:i4>5</vt:i4>
      </vt:variant>
      <vt:variant>
        <vt:lpwstr/>
      </vt:variant>
      <vt:variant>
        <vt:lpwstr>_Toc175828773</vt:lpwstr>
      </vt:variant>
      <vt:variant>
        <vt:i4>1507377</vt:i4>
      </vt:variant>
      <vt:variant>
        <vt:i4>620</vt:i4>
      </vt:variant>
      <vt:variant>
        <vt:i4>0</vt:i4>
      </vt:variant>
      <vt:variant>
        <vt:i4>5</vt:i4>
      </vt:variant>
      <vt:variant>
        <vt:lpwstr/>
      </vt:variant>
      <vt:variant>
        <vt:lpwstr>_Toc175828772</vt:lpwstr>
      </vt:variant>
      <vt:variant>
        <vt:i4>1507377</vt:i4>
      </vt:variant>
      <vt:variant>
        <vt:i4>614</vt:i4>
      </vt:variant>
      <vt:variant>
        <vt:i4>0</vt:i4>
      </vt:variant>
      <vt:variant>
        <vt:i4>5</vt:i4>
      </vt:variant>
      <vt:variant>
        <vt:lpwstr/>
      </vt:variant>
      <vt:variant>
        <vt:lpwstr>_Toc175828771</vt:lpwstr>
      </vt:variant>
      <vt:variant>
        <vt:i4>1507377</vt:i4>
      </vt:variant>
      <vt:variant>
        <vt:i4>608</vt:i4>
      </vt:variant>
      <vt:variant>
        <vt:i4>0</vt:i4>
      </vt:variant>
      <vt:variant>
        <vt:i4>5</vt:i4>
      </vt:variant>
      <vt:variant>
        <vt:lpwstr/>
      </vt:variant>
      <vt:variant>
        <vt:lpwstr>_Toc175828770</vt:lpwstr>
      </vt:variant>
      <vt:variant>
        <vt:i4>1441841</vt:i4>
      </vt:variant>
      <vt:variant>
        <vt:i4>602</vt:i4>
      </vt:variant>
      <vt:variant>
        <vt:i4>0</vt:i4>
      </vt:variant>
      <vt:variant>
        <vt:i4>5</vt:i4>
      </vt:variant>
      <vt:variant>
        <vt:lpwstr/>
      </vt:variant>
      <vt:variant>
        <vt:lpwstr>_Toc175828769</vt:lpwstr>
      </vt:variant>
      <vt:variant>
        <vt:i4>1441841</vt:i4>
      </vt:variant>
      <vt:variant>
        <vt:i4>596</vt:i4>
      </vt:variant>
      <vt:variant>
        <vt:i4>0</vt:i4>
      </vt:variant>
      <vt:variant>
        <vt:i4>5</vt:i4>
      </vt:variant>
      <vt:variant>
        <vt:lpwstr/>
      </vt:variant>
      <vt:variant>
        <vt:lpwstr>_Toc175828768</vt:lpwstr>
      </vt:variant>
      <vt:variant>
        <vt:i4>1441841</vt:i4>
      </vt:variant>
      <vt:variant>
        <vt:i4>590</vt:i4>
      </vt:variant>
      <vt:variant>
        <vt:i4>0</vt:i4>
      </vt:variant>
      <vt:variant>
        <vt:i4>5</vt:i4>
      </vt:variant>
      <vt:variant>
        <vt:lpwstr/>
      </vt:variant>
      <vt:variant>
        <vt:lpwstr>_Toc175828767</vt:lpwstr>
      </vt:variant>
      <vt:variant>
        <vt:i4>1441841</vt:i4>
      </vt:variant>
      <vt:variant>
        <vt:i4>584</vt:i4>
      </vt:variant>
      <vt:variant>
        <vt:i4>0</vt:i4>
      </vt:variant>
      <vt:variant>
        <vt:i4>5</vt:i4>
      </vt:variant>
      <vt:variant>
        <vt:lpwstr/>
      </vt:variant>
      <vt:variant>
        <vt:lpwstr>_Toc175828766</vt:lpwstr>
      </vt:variant>
      <vt:variant>
        <vt:i4>1441841</vt:i4>
      </vt:variant>
      <vt:variant>
        <vt:i4>578</vt:i4>
      </vt:variant>
      <vt:variant>
        <vt:i4>0</vt:i4>
      </vt:variant>
      <vt:variant>
        <vt:i4>5</vt:i4>
      </vt:variant>
      <vt:variant>
        <vt:lpwstr/>
      </vt:variant>
      <vt:variant>
        <vt:lpwstr>_Toc175828765</vt:lpwstr>
      </vt:variant>
      <vt:variant>
        <vt:i4>1441841</vt:i4>
      </vt:variant>
      <vt:variant>
        <vt:i4>572</vt:i4>
      </vt:variant>
      <vt:variant>
        <vt:i4>0</vt:i4>
      </vt:variant>
      <vt:variant>
        <vt:i4>5</vt:i4>
      </vt:variant>
      <vt:variant>
        <vt:lpwstr/>
      </vt:variant>
      <vt:variant>
        <vt:lpwstr>_Toc175828764</vt:lpwstr>
      </vt:variant>
      <vt:variant>
        <vt:i4>1441841</vt:i4>
      </vt:variant>
      <vt:variant>
        <vt:i4>563</vt:i4>
      </vt:variant>
      <vt:variant>
        <vt:i4>0</vt:i4>
      </vt:variant>
      <vt:variant>
        <vt:i4>5</vt:i4>
      </vt:variant>
      <vt:variant>
        <vt:lpwstr/>
      </vt:variant>
      <vt:variant>
        <vt:lpwstr>_Toc175828763</vt:lpwstr>
      </vt:variant>
      <vt:variant>
        <vt:i4>1441841</vt:i4>
      </vt:variant>
      <vt:variant>
        <vt:i4>557</vt:i4>
      </vt:variant>
      <vt:variant>
        <vt:i4>0</vt:i4>
      </vt:variant>
      <vt:variant>
        <vt:i4>5</vt:i4>
      </vt:variant>
      <vt:variant>
        <vt:lpwstr/>
      </vt:variant>
      <vt:variant>
        <vt:lpwstr>_Toc175828762</vt:lpwstr>
      </vt:variant>
      <vt:variant>
        <vt:i4>1441841</vt:i4>
      </vt:variant>
      <vt:variant>
        <vt:i4>551</vt:i4>
      </vt:variant>
      <vt:variant>
        <vt:i4>0</vt:i4>
      </vt:variant>
      <vt:variant>
        <vt:i4>5</vt:i4>
      </vt:variant>
      <vt:variant>
        <vt:lpwstr/>
      </vt:variant>
      <vt:variant>
        <vt:lpwstr>_Toc175828761</vt:lpwstr>
      </vt:variant>
      <vt:variant>
        <vt:i4>1441841</vt:i4>
      </vt:variant>
      <vt:variant>
        <vt:i4>545</vt:i4>
      </vt:variant>
      <vt:variant>
        <vt:i4>0</vt:i4>
      </vt:variant>
      <vt:variant>
        <vt:i4>5</vt:i4>
      </vt:variant>
      <vt:variant>
        <vt:lpwstr/>
      </vt:variant>
      <vt:variant>
        <vt:lpwstr>_Toc175828760</vt:lpwstr>
      </vt:variant>
      <vt:variant>
        <vt:i4>1376305</vt:i4>
      </vt:variant>
      <vt:variant>
        <vt:i4>539</vt:i4>
      </vt:variant>
      <vt:variant>
        <vt:i4>0</vt:i4>
      </vt:variant>
      <vt:variant>
        <vt:i4>5</vt:i4>
      </vt:variant>
      <vt:variant>
        <vt:lpwstr/>
      </vt:variant>
      <vt:variant>
        <vt:lpwstr>_Toc175828759</vt:lpwstr>
      </vt:variant>
      <vt:variant>
        <vt:i4>1376305</vt:i4>
      </vt:variant>
      <vt:variant>
        <vt:i4>533</vt:i4>
      </vt:variant>
      <vt:variant>
        <vt:i4>0</vt:i4>
      </vt:variant>
      <vt:variant>
        <vt:i4>5</vt:i4>
      </vt:variant>
      <vt:variant>
        <vt:lpwstr/>
      </vt:variant>
      <vt:variant>
        <vt:lpwstr>_Toc175828758</vt:lpwstr>
      </vt:variant>
      <vt:variant>
        <vt:i4>1376305</vt:i4>
      </vt:variant>
      <vt:variant>
        <vt:i4>527</vt:i4>
      </vt:variant>
      <vt:variant>
        <vt:i4>0</vt:i4>
      </vt:variant>
      <vt:variant>
        <vt:i4>5</vt:i4>
      </vt:variant>
      <vt:variant>
        <vt:lpwstr/>
      </vt:variant>
      <vt:variant>
        <vt:lpwstr>_Toc175828757</vt:lpwstr>
      </vt:variant>
      <vt:variant>
        <vt:i4>1376305</vt:i4>
      </vt:variant>
      <vt:variant>
        <vt:i4>521</vt:i4>
      </vt:variant>
      <vt:variant>
        <vt:i4>0</vt:i4>
      </vt:variant>
      <vt:variant>
        <vt:i4>5</vt:i4>
      </vt:variant>
      <vt:variant>
        <vt:lpwstr/>
      </vt:variant>
      <vt:variant>
        <vt:lpwstr>_Toc175828756</vt:lpwstr>
      </vt:variant>
      <vt:variant>
        <vt:i4>1376305</vt:i4>
      </vt:variant>
      <vt:variant>
        <vt:i4>515</vt:i4>
      </vt:variant>
      <vt:variant>
        <vt:i4>0</vt:i4>
      </vt:variant>
      <vt:variant>
        <vt:i4>5</vt:i4>
      </vt:variant>
      <vt:variant>
        <vt:lpwstr/>
      </vt:variant>
      <vt:variant>
        <vt:lpwstr>_Toc175828755</vt:lpwstr>
      </vt:variant>
      <vt:variant>
        <vt:i4>1376305</vt:i4>
      </vt:variant>
      <vt:variant>
        <vt:i4>509</vt:i4>
      </vt:variant>
      <vt:variant>
        <vt:i4>0</vt:i4>
      </vt:variant>
      <vt:variant>
        <vt:i4>5</vt:i4>
      </vt:variant>
      <vt:variant>
        <vt:lpwstr/>
      </vt:variant>
      <vt:variant>
        <vt:lpwstr>_Toc175828754</vt:lpwstr>
      </vt:variant>
      <vt:variant>
        <vt:i4>1376305</vt:i4>
      </vt:variant>
      <vt:variant>
        <vt:i4>503</vt:i4>
      </vt:variant>
      <vt:variant>
        <vt:i4>0</vt:i4>
      </vt:variant>
      <vt:variant>
        <vt:i4>5</vt:i4>
      </vt:variant>
      <vt:variant>
        <vt:lpwstr/>
      </vt:variant>
      <vt:variant>
        <vt:lpwstr>_Toc175828753</vt:lpwstr>
      </vt:variant>
      <vt:variant>
        <vt:i4>1376305</vt:i4>
      </vt:variant>
      <vt:variant>
        <vt:i4>497</vt:i4>
      </vt:variant>
      <vt:variant>
        <vt:i4>0</vt:i4>
      </vt:variant>
      <vt:variant>
        <vt:i4>5</vt:i4>
      </vt:variant>
      <vt:variant>
        <vt:lpwstr/>
      </vt:variant>
      <vt:variant>
        <vt:lpwstr>_Toc175828752</vt:lpwstr>
      </vt:variant>
      <vt:variant>
        <vt:i4>1376305</vt:i4>
      </vt:variant>
      <vt:variant>
        <vt:i4>491</vt:i4>
      </vt:variant>
      <vt:variant>
        <vt:i4>0</vt:i4>
      </vt:variant>
      <vt:variant>
        <vt:i4>5</vt:i4>
      </vt:variant>
      <vt:variant>
        <vt:lpwstr/>
      </vt:variant>
      <vt:variant>
        <vt:lpwstr>_Toc175828751</vt:lpwstr>
      </vt:variant>
      <vt:variant>
        <vt:i4>1376305</vt:i4>
      </vt:variant>
      <vt:variant>
        <vt:i4>485</vt:i4>
      </vt:variant>
      <vt:variant>
        <vt:i4>0</vt:i4>
      </vt:variant>
      <vt:variant>
        <vt:i4>5</vt:i4>
      </vt:variant>
      <vt:variant>
        <vt:lpwstr/>
      </vt:variant>
      <vt:variant>
        <vt:lpwstr>_Toc175828750</vt:lpwstr>
      </vt:variant>
      <vt:variant>
        <vt:i4>1310769</vt:i4>
      </vt:variant>
      <vt:variant>
        <vt:i4>479</vt:i4>
      </vt:variant>
      <vt:variant>
        <vt:i4>0</vt:i4>
      </vt:variant>
      <vt:variant>
        <vt:i4>5</vt:i4>
      </vt:variant>
      <vt:variant>
        <vt:lpwstr/>
      </vt:variant>
      <vt:variant>
        <vt:lpwstr>_Toc175828749</vt:lpwstr>
      </vt:variant>
      <vt:variant>
        <vt:i4>1310769</vt:i4>
      </vt:variant>
      <vt:variant>
        <vt:i4>473</vt:i4>
      </vt:variant>
      <vt:variant>
        <vt:i4>0</vt:i4>
      </vt:variant>
      <vt:variant>
        <vt:i4>5</vt:i4>
      </vt:variant>
      <vt:variant>
        <vt:lpwstr/>
      </vt:variant>
      <vt:variant>
        <vt:lpwstr>_Toc175828748</vt:lpwstr>
      </vt:variant>
      <vt:variant>
        <vt:i4>1310769</vt:i4>
      </vt:variant>
      <vt:variant>
        <vt:i4>467</vt:i4>
      </vt:variant>
      <vt:variant>
        <vt:i4>0</vt:i4>
      </vt:variant>
      <vt:variant>
        <vt:i4>5</vt:i4>
      </vt:variant>
      <vt:variant>
        <vt:lpwstr/>
      </vt:variant>
      <vt:variant>
        <vt:lpwstr>_Toc175828747</vt:lpwstr>
      </vt:variant>
      <vt:variant>
        <vt:i4>1310769</vt:i4>
      </vt:variant>
      <vt:variant>
        <vt:i4>461</vt:i4>
      </vt:variant>
      <vt:variant>
        <vt:i4>0</vt:i4>
      </vt:variant>
      <vt:variant>
        <vt:i4>5</vt:i4>
      </vt:variant>
      <vt:variant>
        <vt:lpwstr/>
      </vt:variant>
      <vt:variant>
        <vt:lpwstr>_Toc175828746</vt:lpwstr>
      </vt:variant>
      <vt:variant>
        <vt:i4>1310769</vt:i4>
      </vt:variant>
      <vt:variant>
        <vt:i4>455</vt:i4>
      </vt:variant>
      <vt:variant>
        <vt:i4>0</vt:i4>
      </vt:variant>
      <vt:variant>
        <vt:i4>5</vt:i4>
      </vt:variant>
      <vt:variant>
        <vt:lpwstr/>
      </vt:variant>
      <vt:variant>
        <vt:lpwstr>_Toc175828745</vt:lpwstr>
      </vt:variant>
      <vt:variant>
        <vt:i4>1310769</vt:i4>
      </vt:variant>
      <vt:variant>
        <vt:i4>449</vt:i4>
      </vt:variant>
      <vt:variant>
        <vt:i4>0</vt:i4>
      </vt:variant>
      <vt:variant>
        <vt:i4>5</vt:i4>
      </vt:variant>
      <vt:variant>
        <vt:lpwstr/>
      </vt:variant>
      <vt:variant>
        <vt:lpwstr>_Toc175828744</vt:lpwstr>
      </vt:variant>
      <vt:variant>
        <vt:i4>1310769</vt:i4>
      </vt:variant>
      <vt:variant>
        <vt:i4>443</vt:i4>
      </vt:variant>
      <vt:variant>
        <vt:i4>0</vt:i4>
      </vt:variant>
      <vt:variant>
        <vt:i4>5</vt:i4>
      </vt:variant>
      <vt:variant>
        <vt:lpwstr/>
      </vt:variant>
      <vt:variant>
        <vt:lpwstr>_Toc175828743</vt:lpwstr>
      </vt:variant>
      <vt:variant>
        <vt:i4>1310769</vt:i4>
      </vt:variant>
      <vt:variant>
        <vt:i4>437</vt:i4>
      </vt:variant>
      <vt:variant>
        <vt:i4>0</vt:i4>
      </vt:variant>
      <vt:variant>
        <vt:i4>5</vt:i4>
      </vt:variant>
      <vt:variant>
        <vt:lpwstr/>
      </vt:variant>
      <vt:variant>
        <vt:lpwstr>_Toc175828742</vt:lpwstr>
      </vt:variant>
      <vt:variant>
        <vt:i4>1310769</vt:i4>
      </vt:variant>
      <vt:variant>
        <vt:i4>431</vt:i4>
      </vt:variant>
      <vt:variant>
        <vt:i4>0</vt:i4>
      </vt:variant>
      <vt:variant>
        <vt:i4>5</vt:i4>
      </vt:variant>
      <vt:variant>
        <vt:lpwstr/>
      </vt:variant>
      <vt:variant>
        <vt:lpwstr>_Toc175828741</vt:lpwstr>
      </vt:variant>
      <vt:variant>
        <vt:i4>1310769</vt:i4>
      </vt:variant>
      <vt:variant>
        <vt:i4>425</vt:i4>
      </vt:variant>
      <vt:variant>
        <vt:i4>0</vt:i4>
      </vt:variant>
      <vt:variant>
        <vt:i4>5</vt:i4>
      </vt:variant>
      <vt:variant>
        <vt:lpwstr/>
      </vt:variant>
      <vt:variant>
        <vt:lpwstr>_Toc175828740</vt:lpwstr>
      </vt:variant>
      <vt:variant>
        <vt:i4>1245233</vt:i4>
      </vt:variant>
      <vt:variant>
        <vt:i4>419</vt:i4>
      </vt:variant>
      <vt:variant>
        <vt:i4>0</vt:i4>
      </vt:variant>
      <vt:variant>
        <vt:i4>5</vt:i4>
      </vt:variant>
      <vt:variant>
        <vt:lpwstr/>
      </vt:variant>
      <vt:variant>
        <vt:lpwstr>_Toc175828739</vt:lpwstr>
      </vt:variant>
      <vt:variant>
        <vt:i4>1245233</vt:i4>
      </vt:variant>
      <vt:variant>
        <vt:i4>413</vt:i4>
      </vt:variant>
      <vt:variant>
        <vt:i4>0</vt:i4>
      </vt:variant>
      <vt:variant>
        <vt:i4>5</vt:i4>
      </vt:variant>
      <vt:variant>
        <vt:lpwstr/>
      </vt:variant>
      <vt:variant>
        <vt:lpwstr>_Toc175828738</vt:lpwstr>
      </vt:variant>
      <vt:variant>
        <vt:i4>1245233</vt:i4>
      </vt:variant>
      <vt:variant>
        <vt:i4>407</vt:i4>
      </vt:variant>
      <vt:variant>
        <vt:i4>0</vt:i4>
      </vt:variant>
      <vt:variant>
        <vt:i4>5</vt:i4>
      </vt:variant>
      <vt:variant>
        <vt:lpwstr/>
      </vt:variant>
      <vt:variant>
        <vt:lpwstr>_Toc175828737</vt:lpwstr>
      </vt:variant>
      <vt:variant>
        <vt:i4>1245233</vt:i4>
      </vt:variant>
      <vt:variant>
        <vt:i4>401</vt:i4>
      </vt:variant>
      <vt:variant>
        <vt:i4>0</vt:i4>
      </vt:variant>
      <vt:variant>
        <vt:i4>5</vt:i4>
      </vt:variant>
      <vt:variant>
        <vt:lpwstr/>
      </vt:variant>
      <vt:variant>
        <vt:lpwstr>_Toc175828736</vt:lpwstr>
      </vt:variant>
      <vt:variant>
        <vt:i4>1245233</vt:i4>
      </vt:variant>
      <vt:variant>
        <vt:i4>395</vt:i4>
      </vt:variant>
      <vt:variant>
        <vt:i4>0</vt:i4>
      </vt:variant>
      <vt:variant>
        <vt:i4>5</vt:i4>
      </vt:variant>
      <vt:variant>
        <vt:lpwstr/>
      </vt:variant>
      <vt:variant>
        <vt:lpwstr>_Toc175828735</vt:lpwstr>
      </vt:variant>
      <vt:variant>
        <vt:i4>1245233</vt:i4>
      </vt:variant>
      <vt:variant>
        <vt:i4>389</vt:i4>
      </vt:variant>
      <vt:variant>
        <vt:i4>0</vt:i4>
      </vt:variant>
      <vt:variant>
        <vt:i4>5</vt:i4>
      </vt:variant>
      <vt:variant>
        <vt:lpwstr/>
      </vt:variant>
      <vt:variant>
        <vt:lpwstr>_Toc175828734</vt:lpwstr>
      </vt:variant>
      <vt:variant>
        <vt:i4>1245233</vt:i4>
      </vt:variant>
      <vt:variant>
        <vt:i4>383</vt:i4>
      </vt:variant>
      <vt:variant>
        <vt:i4>0</vt:i4>
      </vt:variant>
      <vt:variant>
        <vt:i4>5</vt:i4>
      </vt:variant>
      <vt:variant>
        <vt:lpwstr/>
      </vt:variant>
      <vt:variant>
        <vt:lpwstr>_Toc175828733</vt:lpwstr>
      </vt:variant>
      <vt:variant>
        <vt:i4>1245233</vt:i4>
      </vt:variant>
      <vt:variant>
        <vt:i4>377</vt:i4>
      </vt:variant>
      <vt:variant>
        <vt:i4>0</vt:i4>
      </vt:variant>
      <vt:variant>
        <vt:i4>5</vt:i4>
      </vt:variant>
      <vt:variant>
        <vt:lpwstr/>
      </vt:variant>
      <vt:variant>
        <vt:lpwstr>_Toc175828732</vt:lpwstr>
      </vt:variant>
      <vt:variant>
        <vt:i4>1245233</vt:i4>
      </vt:variant>
      <vt:variant>
        <vt:i4>371</vt:i4>
      </vt:variant>
      <vt:variant>
        <vt:i4>0</vt:i4>
      </vt:variant>
      <vt:variant>
        <vt:i4>5</vt:i4>
      </vt:variant>
      <vt:variant>
        <vt:lpwstr/>
      </vt:variant>
      <vt:variant>
        <vt:lpwstr>_Toc175828731</vt:lpwstr>
      </vt:variant>
      <vt:variant>
        <vt:i4>1245233</vt:i4>
      </vt:variant>
      <vt:variant>
        <vt:i4>362</vt:i4>
      </vt:variant>
      <vt:variant>
        <vt:i4>0</vt:i4>
      </vt:variant>
      <vt:variant>
        <vt:i4>5</vt:i4>
      </vt:variant>
      <vt:variant>
        <vt:lpwstr/>
      </vt:variant>
      <vt:variant>
        <vt:lpwstr>_Toc175828730</vt:lpwstr>
      </vt:variant>
      <vt:variant>
        <vt:i4>1179697</vt:i4>
      </vt:variant>
      <vt:variant>
        <vt:i4>356</vt:i4>
      </vt:variant>
      <vt:variant>
        <vt:i4>0</vt:i4>
      </vt:variant>
      <vt:variant>
        <vt:i4>5</vt:i4>
      </vt:variant>
      <vt:variant>
        <vt:lpwstr/>
      </vt:variant>
      <vt:variant>
        <vt:lpwstr>_Toc175828729</vt:lpwstr>
      </vt:variant>
      <vt:variant>
        <vt:i4>1179697</vt:i4>
      </vt:variant>
      <vt:variant>
        <vt:i4>350</vt:i4>
      </vt:variant>
      <vt:variant>
        <vt:i4>0</vt:i4>
      </vt:variant>
      <vt:variant>
        <vt:i4>5</vt:i4>
      </vt:variant>
      <vt:variant>
        <vt:lpwstr/>
      </vt:variant>
      <vt:variant>
        <vt:lpwstr>_Toc175828728</vt:lpwstr>
      </vt:variant>
      <vt:variant>
        <vt:i4>1179697</vt:i4>
      </vt:variant>
      <vt:variant>
        <vt:i4>344</vt:i4>
      </vt:variant>
      <vt:variant>
        <vt:i4>0</vt:i4>
      </vt:variant>
      <vt:variant>
        <vt:i4>5</vt:i4>
      </vt:variant>
      <vt:variant>
        <vt:lpwstr/>
      </vt:variant>
      <vt:variant>
        <vt:lpwstr>_Toc175828727</vt:lpwstr>
      </vt:variant>
      <vt:variant>
        <vt:i4>1179697</vt:i4>
      </vt:variant>
      <vt:variant>
        <vt:i4>338</vt:i4>
      </vt:variant>
      <vt:variant>
        <vt:i4>0</vt:i4>
      </vt:variant>
      <vt:variant>
        <vt:i4>5</vt:i4>
      </vt:variant>
      <vt:variant>
        <vt:lpwstr/>
      </vt:variant>
      <vt:variant>
        <vt:lpwstr>_Toc175828726</vt:lpwstr>
      </vt:variant>
      <vt:variant>
        <vt:i4>1179697</vt:i4>
      </vt:variant>
      <vt:variant>
        <vt:i4>332</vt:i4>
      </vt:variant>
      <vt:variant>
        <vt:i4>0</vt:i4>
      </vt:variant>
      <vt:variant>
        <vt:i4>5</vt:i4>
      </vt:variant>
      <vt:variant>
        <vt:lpwstr/>
      </vt:variant>
      <vt:variant>
        <vt:lpwstr>_Toc175828725</vt:lpwstr>
      </vt:variant>
      <vt:variant>
        <vt:i4>1179697</vt:i4>
      </vt:variant>
      <vt:variant>
        <vt:i4>326</vt:i4>
      </vt:variant>
      <vt:variant>
        <vt:i4>0</vt:i4>
      </vt:variant>
      <vt:variant>
        <vt:i4>5</vt:i4>
      </vt:variant>
      <vt:variant>
        <vt:lpwstr/>
      </vt:variant>
      <vt:variant>
        <vt:lpwstr>_Toc175828724</vt:lpwstr>
      </vt:variant>
      <vt:variant>
        <vt:i4>1179697</vt:i4>
      </vt:variant>
      <vt:variant>
        <vt:i4>320</vt:i4>
      </vt:variant>
      <vt:variant>
        <vt:i4>0</vt:i4>
      </vt:variant>
      <vt:variant>
        <vt:i4>5</vt:i4>
      </vt:variant>
      <vt:variant>
        <vt:lpwstr/>
      </vt:variant>
      <vt:variant>
        <vt:lpwstr>_Toc175828723</vt:lpwstr>
      </vt:variant>
      <vt:variant>
        <vt:i4>1179697</vt:i4>
      </vt:variant>
      <vt:variant>
        <vt:i4>314</vt:i4>
      </vt:variant>
      <vt:variant>
        <vt:i4>0</vt:i4>
      </vt:variant>
      <vt:variant>
        <vt:i4>5</vt:i4>
      </vt:variant>
      <vt:variant>
        <vt:lpwstr/>
      </vt:variant>
      <vt:variant>
        <vt:lpwstr>_Toc175828722</vt:lpwstr>
      </vt:variant>
      <vt:variant>
        <vt:i4>1179697</vt:i4>
      </vt:variant>
      <vt:variant>
        <vt:i4>308</vt:i4>
      </vt:variant>
      <vt:variant>
        <vt:i4>0</vt:i4>
      </vt:variant>
      <vt:variant>
        <vt:i4>5</vt:i4>
      </vt:variant>
      <vt:variant>
        <vt:lpwstr/>
      </vt:variant>
      <vt:variant>
        <vt:lpwstr>_Toc175828721</vt:lpwstr>
      </vt:variant>
      <vt:variant>
        <vt:i4>1179697</vt:i4>
      </vt:variant>
      <vt:variant>
        <vt:i4>302</vt:i4>
      </vt:variant>
      <vt:variant>
        <vt:i4>0</vt:i4>
      </vt:variant>
      <vt:variant>
        <vt:i4>5</vt:i4>
      </vt:variant>
      <vt:variant>
        <vt:lpwstr/>
      </vt:variant>
      <vt:variant>
        <vt:lpwstr>_Toc175828720</vt:lpwstr>
      </vt:variant>
      <vt:variant>
        <vt:i4>1114161</vt:i4>
      </vt:variant>
      <vt:variant>
        <vt:i4>296</vt:i4>
      </vt:variant>
      <vt:variant>
        <vt:i4>0</vt:i4>
      </vt:variant>
      <vt:variant>
        <vt:i4>5</vt:i4>
      </vt:variant>
      <vt:variant>
        <vt:lpwstr/>
      </vt:variant>
      <vt:variant>
        <vt:lpwstr>_Toc175828719</vt:lpwstr>
      </vt:variant>
      <vt:variant>
        <vt:i4>1114161</vt:i4>
      </vt:variant>
      <vt:variant>
        <vt:i4>290</vt:i4>
      </vt:variant>
      <vt:variant>
        <vt:i4>0</vt:i4>
      </vt:variant>
      <vt:variant>
        <vt:i4>5</vt:i4>
      </vt:variant>
      <vt:variant>
        <vt:lpwstr/>
      </vt:variant>
      <vt:variant>
        <vt:lpwstr>_Toc175828718</vt:lpwstr>
      </vt:variant>
      <vt:variant>
        <vt:i4>1114161</vt:i4>
      </vt:variant>
      <vt:variant>
        <vt:i4>284</vt:i4>
      </vt:variant>
      <vt:variant>
        <vt:i4>0</vt:i4>
      </vt:variant>
      <vt:variant>
        <vt:i4>5</vt:i4>
      </vt:variant>
      <vt:variant>
        <vt:lpwstr/>
      </vt:variant>
      <vt:variant>
        <vt:lpwstr>_Toc175828717</vt:lpwstr>
      </vt:variant>
      <vt:variant>
        <vt:i4>1114161</vt:i4>
      </vt:variant>
      <vt:variant>
        <vt:i4>278</vt:i4>
      </vt:variant>
      <vt:variant>
        <vt:i4>0</vt:i4>
      </vt:variant>
      <vt:variant>
        <vt:i4>5</vt:i4>
      </vt:variant>
      <vt:variant>
        <vt:lpwstr/>
      </vt:variant>
      <vt:variant>
        <vt:lpwstr>_Toc175828716</vt:lpwstr>
      </vt:variant>
      <vt:variant>
        <vt:i4>1114161</vt:i4>
      </vt:variant>
      <vt:variant>
        <vt:i4>272</vt:i4>
      </vt:variant>
      <vt:variant>
        <vt:i4>0</vt:i4>
      </vt:variant>
      <vt:variant>
        <vt:i4>5</vt:i4>
      </vt:variant>
      <vt:variant>
        <vt:lpwstr/>
      </vt:variant>
      <vt:variant>
        <vt:lpwstr>_Toc175828715</vt:lpwstr>
      </vt:variant>
      <vt:variant>
        <vt:i4>1114161</vt:i4>
      </vt:variant>
      <vt:variant>
        <vt:i4>266</vt:i4>
      </vt:variant>
      <vt:variant>
        <vt:i4>0</vt:i4>
      </vt:variant>
      <vt:variant>
        <vt:i4>5</vt:i4>
      </vt:variant>
      <vt:variant>
        <vt:lpwstr/>
      </vt:variant>
      <vt:variant>
        <vt:lpwstr>_Toc175828714</vt:lpwstr>
      </vt:variant>
      <vt:variant>
        <vt:i4>1114161</vt:i4>
      </vt:variant>
      <vt:variant>
        <vt:i4>260</vt:i4>
      </vt:variant>
      <vt:variant>
        <vt:i4>0</vt:i4>
      </vt:variant>
      <vt:variant>
        <vt:i4>5</vt:i4>
      </vt:variant>
      <vt:variant>
        <vt:lpwstr/>
      </vt:variant>
      <vt:variant>
        <vt:lpwstr>_Toc175828713</vt:lpwstr>
      </vt:variant>
      <vt:variant>
        <vt:i4>1114161</vt:i4>
      </vt:variant>
      <vt:variant>
        <vt:i4>254</vt:i4>
      </vt:variant>
      <vt:variant>
        <vt:i4>0</vt:i4>
      </vt:variant>
      <vt:variant>
        <vt:i4>5</vt:i4>
      </vt:variant>
      <vt:variant>
        <vt:lpwstr/>
      </vt:variant>
      <vt:variant>
        <vt:lpwstr>_Toc175828712</vt:lpwstr>
      </vt:variant>
      <vt:variant>
        <vt:i4>1114161</vt:i4>
      </vt:variant>
      <vt:variant>
        <vt:i4>248</vt:i4>
      </vt:variant>
      <vt:variant>
        <vt:i4>0</vt:i4>
      </vt:variant>
      <vt:variant>
        <vt:i4>5</vt:i4>
      </vt:variant>
      <vt:variant>
        <vt:lpwstr/>
      </vt:variant>
      <vt:variant>
        <vt:lpwstr>_Toc175828711</vt:lpwstr>
      </vt:variant>
      <vt:variant>
        <vt:i4>1114161</vt:i4>
      </vt:variant>
      <vt:variant>
        <vt:i4>242</vt:i4>
      </vt:variant>
      <vt:variant>
        <vt:i4>0</vt:i4>
      </vt:variant>
      <vt:variant>
        <vt:i4>5</vt:i4>
      </vt:variant>
      <vt:variant>
        <vt:lpwstr/>
      </vt:variant>
      <vt:variant>
        <vt:lpwstr>_Toc175828710</vt:lpwstr>
      </vt:variant>
      <vt:variant>
        <vt:i4>1048625</vt:i4>
      </vt:variant>
      <vt:variant>
        <vt:i4>236</vt:i4>
      </vt:variant>
      <vt:variant>
        <vt:i4>0</vt:i4>
      </vt:variant>
      <vt:variant>
        <vt:i4>5</vt:i4>
      </vt:variant>
      <vt:variant>
        <vt:lpwstr/>
      </vt:variant>
      <vt:variant>
        <vt:lpwstr>_Toc175828709</vt:lpwstr>
      </vt:variant>
      <vt:variant>
        <vt:i4>1048625</vt:i4>
      </vt:variant>
      <vt:variant>
        <vt:i4>230</vt:i4>
      </vt:variant>
      <vt:variant>
        <vt:i4>0</vt:i4>
      </vt:variant>
      <vt:variant>
        <vt:i4>5</vt:i4>
      </vt:variant>
      <vt:variant>
        <vt:lpwstr/>
      </vt:variant>
      <vt:variant>
        <vt:lpwstr>_Toc175828708</vt:lpwstr>
      </vt:variant>
      <vt:variant>
        <vt:i4>1048625</vt:i4>
      </vt:variant>
      <vt:variant>
        <vt:i4>224</vt:i4>
      </vt:variant>
      <vt:variant>
        <vt:i4>0</vt:i4>
      </vt:variant>
      <vt:variant>
        <vt:i4>5</vt:i4>
      </vt:variant>
      <vt:variant>
        <vt:lpwstr/>
      </vt:variant>
      <vt:variant>
        <vt:lpwstr>_Toc175828707</vt:lpwstr>
      </vt:variant>
      <vt:variant>
        <vt:i4>1048625</vt:i4>
      </vt:variant>
      <vt:variant>
        <vt:i4>218</vt:i4>
      </vt:variant>
      <vt:variant>
        <vt:i4>0</vt:i4>
      </vt:variant>
      <vt:variant>
        <vt:i4>5</vt:i4>
      </vt:variant>
      <vt:variant>
        <vt:lpwstr/>
      </vt:variant>
      <vt:variant>
        <vt:lpwstr>_Toc175828706</vt:lpwstr>
      </vt:variant>
      <vt:variant>
        <vt:i4>1048625</vt:i4>
      </vt:variant>
      <vt:variant>
        <vt:i4>212</vt:i4>
      </vt:variant>
      <vt:variant>
        <vt:i4>0</vt:i4>
      </vt:variant>
      <vt:variant>
        <vt:i4>5</vt:i4>
      </vt:variant>
      <vt:variant>
        <vt:lpwstr/>
      </vt:variant>
      <vt:variant>
        <vt:lpwstr>_Toc175828705</vt:lpwstr>
      </vt:variant>
      <vt:variant>
        <vt:i4>1048625</vt:i4>
      </vt:variant>
      <vt:variant>
        <vt:i4>206</vt:i4>
      </vt:variant>
      <vt:variant>
        <vt:i4>0</vt:i4>
      </vt:variant>
      <vt:variant>
        <vt:i4>5</vt:i4>
      </vt:variant>
      <vt:variant>
        <vt:lpwstr/>
      </vt:variant>
      <vt:variant>
        <vt:lpwstr>_Toc175828704</vt:lpwstr>
      </vt:variant>
      <vt:variant>
        <vt:i4>1048625</vt:i4>
      </vt:variant>
      <vt:variant>
        <vt:i4>200</vt:i4>
      </vt:variant>
      <vt:variant>
        <vt:i4>0</vt:i4>
      </vt:variant>
      <vt:variant>
        <vt:i4>5</vt:i4>
      </vt:variant>
      <vt:variant>
        <vt:lpwstr/>
      </vt:variant>
      <vt:variant>
        <vt:lpwstr>_Toc175828703</vt:lpwstr>
      </vt:variant>
      <vt:variant>
        <vt:i4>1048625</vt:i4>
      </vt:variant>
      <vt:variant>
        <vt:i4>194</vt:i4>
      </vt:variant>
      <vt:variant>
        <vt:i4>0</vt:i4>
      </vt:variant>
      <vt:variant>
        <vt:i4>5</vt:i4>
      </vt:variant>
      <vt:variant>
        <vt:lpwstr/>
      </vt:variant>
      <vt:variant>
        <vt:lpwstr>_Toc175828702</vt:lpwstr>
      </vt:variant>
      <vt:variant>
        <vt:i4>1048625</vt:i4>
      </vt:variant>
      <vt:variant>
        <vt:i4>188</vt:i4>
      </vt:variant>
      <vt:variant>
        <vt:i4>0</vt:i4>
      </vt:variant>
      <vt:variant>
        <vt:i4>5</vt:i4>
      </vt:variant>
      <vt:variant>
        <vt:lpwstr/>
      </vt:variant>
      <vt:variant>
        <vt:lpwstr>_Toc175828701</vt:lpwstr>
      </vt:variant>
      <vt:variant>
        <vt:i4>1048625</vt:i4>
      </vt:variant>
      <vt:variant>
        <vt:i4>182</vt:i4>
      </vt:variant>
      <vt:variant>
        <vt:i4>0</vt:i4>
      </vt:variant>
      <vt:variant>
        <vt:i4>5</vt:i4>
      </vt:variant>
      <vt:variant>
        <vt:lpwstr/>
      </vt:variant>
      <vt:variant>
        <vt:lpwstr>_Toc175828700</vt:lpwstr>
      </vt:variant>
      <vt:variant>
        <vt:i4>1638448</vt:i4>
      </vt:variant>
      <vt:variant>
        <vt:i4>176</vt:i4>
      </vt:variant>
      <vt:variant>
        <vt:i4>0</vt:i4>
      </vt:variant>
      <vt:variant>
        <vt:i4>5</vt:i4>
      </vt:variant>
      <vt:variant>
        <vt:lpwstr/>
      </vt:variant>
      <vt:variant>
        <vt:lpwstr>_Toc175828699</vt:lpwstr>
      </vt:variant>
      <vt:variant>
        <vt:i4>1638448</vt:i4>
      </vt:variant>
      <vt:variant>
        <vt:i4>170</vt:i4>
      </vt:variant>
      <vt:variant>
        <vt:i4>0</vt:i4>
      </vt:variant>
      <vt:variant>
        <vt:i4>5</vt:i4>
      </vt:variant>
      <vt:variant>
        <vt:lpwstr/>
      </vt:variant>
      <vt:variant>
        <vt:lpwstr>_Toc175828698</vt:lpwstr>
      </vt:variant>
      <vt:variant>
        <vt:i4>1638448</vt:i4>
      </vt:variant>
      <vt:variant>
        <vt:i4>164</vt:i4>
      </vt:variant>
      <vt:variant>
        <vt:i4>0</vt:i4>
      </vt:variant>
      <vt:variant>
        <vt:i4>5</vt:i4>
      </vt:variant>
      <vt:variant>
        <vt:lpwstr/>
      </vt:variant>
      <vt:variant>
        <vt:lpwstr>_Toc175828697</vt:lpwstr>
      </vt:variant>
      <vt:variant>
        <vt:i4>1638448</vt:i4>
      </vt:variant>
      <vt:variant>
        <vt:i4>158</vt:i4>
      </vt:variant>
      <vt:variant>
        <vt:i4>0</vt:i4>
      </vt:variant>
      <vt:variant>
        <vt:i4>5</vt:i4>
      </vt:variant>
      <vt:variant>
        <vt:lpwstr/>
      </vt:variant>
      <vt:variant>
        <vt:lpwstr>_Toc175828696</vt:lpwstr>
      </vt:variant>
      <vt:variant>
        <vt:i4>1638448</vt:i4>
      </vt:variant>
      <vt:variant>
        <vt:i4>152</vt:i4>
      </vt:variant>
      <vt:variant>
        <vt:i4>0</vt:i4>
      </vt:variant>
      <vt:variant>
        <vt:i4>5</vt:i4>
      </vt:variant>
      <vt:variant>
        <vt:lpwstr/>
      </vt:variant>
      <vt:variant>
        <vt:lpwstr>_Toc175828695</vt:lpwstr>
      </vt:variant>
      <vt:variant>
        <vt:i4>1638448</vt:i4>
      </vt:variant>
      <vt:variant>
        <vt:i4>146</vt:i4>
      </vt:variant>
      <vt:variant>
        <vt:i4>0</vt:i4>
      </vt:variant>
      <vt:variant>
        <vt:i4>5</vt:i4>
      </vt:variant>
      <vt:variant>
        <vt:lpwstr/>
      </vt:variant>
      <vt:variant>
        <vt:lpwstr>_Toc175828694</vt:lpwstr>
      </vt:variant>
      <vt:variant>
        <vt:i4>1638448</vt:i4>
      </vt:variant>
      <vt:variant>
        <vt:i4>140</vt:i4>
      </vt:variant>
      <vt:variant>
        <vt:i4>0</vt:i4>
      </vt:variant>
      <vt:variant>
        <vt:i4>5</vt:i4>
      </vt:variant>
      <vt:variant>
        <vt:lpwstr/>
      </vt:variant>
      <vt:variant>
        <vt:lpwstr>_Toc175828693</vt:lpwstr>
      </vt:variant>
      <vt:variant>
        <vt:i4>1638448</vt:i4>
      </vt:variant>
      <vt:variant>
        <vt:i4>134</vt:i4>
      </vt:variant>
      <vt:variant>
        <vt:i4>0</vt:i4>
      </vt:variant>
      <vt:variant>
        <vt:i4>5</vt:i4>
      </vt:variant>
      <vt:variant>
        <vt:lpwstr/>
      </vt:variant>
      <vt:variant>
        <vt:lpwstr>_Toc175828692</vt:lpwstr>
      </vt:variant>
      <vt:variant>
        <vt:i4>1638448</vt:i4>
      </vt:variant>
      <vt:variant>
        <vt:i4>128</vt:i4>
      </vt:variant>
      <vt:variant>
        <vt:i4>0</vt:i4>
      </vt:variant>
      <vt:variant>
        <vt:i4>5</vt:i4>
      </vt:variant>
      <vt:variant>
        <vt:lpwstr/>
      </vt:variant>
      <vt:variant>
        <vt:lpwstr>_Toc175828691</vt:lpwstr>
      </vt:variant>
      <vt:variant>
        <vt:i4>1638448</vt:i4>
      </vt:variant>
      <vt:variant>
        <vt:i4>122</vt:i4>
      </vt:variant>
      <vt:variant>
        <vt:i4>0</vt:i4>
      </vt:variant>
      <vt:variant>
        <vt:i4>5</vt:i4>
      </vt:variant>
      <vt:variant>
        <vt:lpwstr/>
      </vt:variant>
      <vt:variant>
        <vt:lpwstr>_Toc175828690</vt:lpwstr>
      </vt:variant>
      <vt:variant>
        <vt:i4>1572912</vt:i4>
      </vt:variant>
      <vt:variant>
        <vt:i4>116</vt:i4>
      </vt:variant>
      <vt:variant>
        <vt:i4>0</vt:i4>
      </vt:variant>
      <vt:variant>
        <vt:i4>5</vt:i4>
      </vt:variant>
      <vt:variant>
        <vt:lpwstr/>
      </vt:variant>
      <vt:variant>
        <vt:lpwstr>_Toc175828689</vt:lpwstr>
      </vt:variant>
      <vt:variant>
        <vt:i4>1572912</vt:i4>
      </vt:variant>
      <vt:variant>
        <vt:i4>110</vt:i4>
      </vt:variant>
      <vt:variant>
        <vt:i4>0</vt:i4>
      </vt:variant>
      <vt:variant>
        <vt:i4>5</vt:i4>
      </vt:variant>
      <vt:variant>
        <vt:lpwstr/>
      </vt:variant>
      <vt:variant>
        <vt:lpwstr>_Toc175828688</vt:lpwstr>
      </vt:variant>
      <vt:variant>
        <vt:i4>1572912</vt:i4>
      </vt:variant>
      <vt:variant>
        <vt:i4>104</vt:i4>
      </vt:variant>
      <vt:variant>
        <vt:i4>0</vt:i4>
      </vt:variant>
      <vt:variant>
        <vt:i4>5</vt:i4>
      </vt:variant>
      <vt:variant>
        <vt:lpwstr/>
      </vt:variant>
      <vt:variant>
        <vt:lpwstr>_Toc175828687</vt:lpwstr>
      </vt:variant>
      <vt:variant>
        <vt:i4>1572912</vt:i4>
      </vt:variant>
      <vt:variant>
        <vt:i4>98</vt:i4>
      </vt:variant>
      <vt:variant>
        <vt:i4>0</vt:i4>
      </vt:variant>
      <vt:variant>
        <vt:i4>5</vt:i4>
      </vt:variant>
      <vt:variant>
        <vt:lpwstr/>
      </vt:variant>
      <vt:variant>
        <vt:lpwstr>_Toc175828686</vt:lpwstr>
      </vt:variant>
      <vt:variant>
        <vt:i4>1572912</vt:i4>
      </vt:variant>
      <vt:variant>
        <vt:i4>92</vt:i4>
      </vt:variant>
      <vt:variant>
        <vt:i4>0</vt:i4>
      </vt:variant>
      <vt:variant>
        <vt:i4>5</vt:i4>
      </vt:variant>
      <vt:variant>
        <vt:lpwstr/>
      </vt:variant>
      <vt:variant>
        <vt:lpwstr>_Toc175828685</vt:lpwstr>
      </vt:variant>
      <vt:variant>
        <vt:i4>1572912</vt:i4>
      </vt:variant>
      <vt:variant>
        <vt:i4>86</vt:i4>
      </vt:variant>
      <vt:variant>
        <vt:i4>0</vt:i4>
      </vt:variant>
      <vt:variant>
        <vt:i4>5</vt:i4>
      </vt:variant>
      <vt:variant>
        <vt:lpwstr/>
      </vt:variant>
      <vt:variant>
        <vt:lpwstr>_Toc175828684</vt:lpwstr>
      </vt:variant>
      <vt:variant>
        <vt:i4>1572912</vt:i4>
      </vt:variant>
      <vt:variant>
        <vt:i4>80</vt:i4>
      </vt:variant>
      <vt:variant>
        <vt:i4>0</vt:i4>
      </vt:variant>
      <vt:variant>
        <vt:i4>5</vt:i4>
      </vt:variant>
      <vt:variant>
        <vt:lpwstr/>
      </vt:variant>
      <vt:variant>
        <vt:lpwstr>_Toc175828683</vt:lpwstr>
      </vt:variant>
      <vt:variant>
        <vt:i4>1572912</vt:i4>
      </vt:variant>
      <vt:variant>
        <vt:i4>74</vt:i4>
      </vt:variant>
      <vt:variant>
        <vt:i4>0</vt:i4>
      </vt:variant>
      <vt:variant>
        <vt:i4>5</vt:i4>
      </vt:variant>
      <vt:variant>
        <vt:lpwstr/>
      </vt:variant>
      <vt:variant>
        <vt:lpwstr>_Toc175828682</vt:lpwstr>
      </vt:variant>
      <vt:variant>
        <vt:i4>1572912</vt:i4>
      </vt:variant>
      <vt:variant>
        <vt:i4>68</vt:i4>
      </vt:variant>
      <vt:variant>
        <vt:i4>0</vt:i4>
      </vt:variant>
      <vt:variant>
        <vt:i4>5</vt:i4>
      </vt:variant>
      <vt:variant>
        <vt:lpwstr/>
      </vt:variant>
      <vt:variant>
        <vt:lpwstr>_Toc175828681</vt:lpwstr>
      </vt:variant>
      <vt:variant>
        <vt:i4>1572912</vt:i4>
      </vt:variant>
      <vt:variant>
        <vt:i4>62</vt:i4>
      </vt:variant>
      <vt:variant>
        <vt:i4>0</vt:i4>
      </vt:variant>
      <vt:variant>
        <vt:i4>5</vt:i4>
      </vt:variant>
      <vt:variant>
        <vt:lpwstr/>
      </vt:variant>
      <vt:variant>
        <vt:lpwstr>_Toc175828680</vt:lpwstr>
      </vt:variant>
      <vt:variant>
        <vt:i4>1507376</vt:i4>
      </vt:variant>
      <vt:variant>
        <vt:i4>56</vt:i4>
      </vt:variant>
      <vt:variant>
        <vt:i4>0</vt:i4>
      </vt:variant>
      <vt:variant>
        <vt:i4>5</vt:i4>
      </vt:variant>
      <vt:variant>
        <vt:lpwstr/>
      </vt:variant>
      <vt:variant>
        <vt:lpwstr>_Toc175828679</vt:lpwstr>
      </vt:variant>
      <vt:variant>
        <vt:i4>1507376</vt:i4>
      </vt:variant>
      <vt:variant>
        <vt:i4>50</vt:i4>
      </vt:variant>
      <vt:variant>
        <vt:i4>0</vt:i4>
      </vt:variant>
      <vt:variant>
        <vt:i4>5</vt:i4>
      </vt:variant>
      <vt:variant>
        <vt:lpwstr/>
      </vt:variant>
      <vt:variant>
        <vt:lpwstr>_Toc175828678</vt:lpwstr>
      </vt:variant>
      <vt:variant>
        <vt:i4>1507376</vt:i4>
      </vt:variant>
      <vt:variant>
        <vt:i4>44</vt:i4>
      </vt:variant>
      <vt:variant>
        <vt:i4>0</vt:i4>
      </vt:variant>
      <vt:variant>
        <vt:i4>5</vt:i4>
      </vt:variant>
      <vt:variant>
        <vt:lpwstr/>
      </vt:variant>
      <vt:variant>
        <vt:lpwstr>_Toc175828677</vt:lpwstr>
      </vt:variant>
      <vt:variant>
        <vt:i4>1507376</vt:i4>
      </vt:variant>
      <vt:variant>
        <vt:i4>38</vt:i4>
      </vt:variant>
      <vt:variant>
        <vt:i4>0</vt:i4>
      </vt:variant>
      <vt:variant>
        <vt:i4>5</vt:i4>
      </vt:variant>
      <vt:variant>
        <vt:lpwstr/>
      </vt:variant>
      <vt:variant>
        <vt:lpwstr>_Toc175828676</vt:lpwstr>
      </vt:variant>
      <vt:variant>
        <vt:i4>1507376</vt:i4>
      </vt:variant>
      <vt:variant>
        <vt:i4>32</vt:i4>
      </vt:variant>
      <vt:variant>
        <vt:i4>0</vt:i4>
      </vt:variant>
      <vt:variant>
        <vt:i4>5</vt:i4>
      </vt:variant>
      <vt:variant>
        <vt:lpwstr/>
      </vt:variant>
      <vt:variant>
        <vt:lpwstr>_Toc175828675</vt:lpwstr>
      </vt:variant>
      <vt:variant>
        <vt:i4>1507376</vt:i4>
      </vt:variant>
      <vt:variant>
        <vt:i4>26</vt:i4>
      </vt:variant>
      <vt:variant>
        <vt:i4>0</vt:i4>
      </vt:variant>
      <vt:variant>
        <vt:i4>5</vt:i4>
      </vt:variant>
      <vt:variant>
        <vt:lpwstr/>
      </vt:variant>
      <vt:variant>
        <vt:lpwstr>_Toc175828674</vt:lpwstr>
      </vt:variant>
      <vt:variant>
        <vt:i4>1507376</vt:i4>
      </vt:variant>
      <vt:variant>
        <vt:i4>20</vt:i4>
      </vt:variant>
      <vt:variant>
        <vt:i4>0</vt:i4>
      </vt:variant>
      <vt:variant>
        <vt:i4>5</vt:i4>
      </vt:variant>
      <vt:variant>
        <vt:lpwstr/>
      </vt:variant>
      <vt:variant>
        <vt:lpwstr>_Toc175828673</vt:lpwstr>
      </vt:variant>
      <vt:variant>
        <vt:i4>1507376</vt:i4>
      </vt:variant>
      <vt:variant>
        <vt:i4>14</vt:i4>
      </vt:variant>
      <vt:variant>
        <vt:i4>0</vt:i4>
      </vt:variant>
      <vt:variant>
        <vt:i4>5</vt:i4>
      </vt:variant>
      <vt:variant>
        <vt:lpwstr/>
      </vt:variant>
      <vt:variant>
        <vt:lpwstr>_Toc175828672</vt:lpwstr>
      </vt:variant>
      <vt:variant>
        <vt:i4>1507376</vt:i4>
      </vt:variant>
      <vt:variant>
        <vt:i4>8</vt:i4>
      </vt:variant>
      <vt:variant>
        <vt:i4>0</vt:i4>
      </vt:variant>
      <vt:variant>
        <vt:i4>5</vt:i4>
      </vt:variant>
      <vt:variant>
        <vt:lpwstr/>
      </vt:variant>
      <vt:variant>
        <vt:lpwstr>_Toc175828671</vt:lpwstr>
      </vt:variant>
      <vt:variant>
        <vt:i4>1507376</vt:i4>
      </vt:variant>
      <vt:variant>
        <vt:i4>2</vt:i4>
      </vt:variant>
      <vt:variant>
        <vt:i4>0</vt:i4>
      </vt:variant>
      <vt:variant>
        <vt:i4>5</vt:i4>
      </vt:variant>
      <vt:variant>
        <vt:lpwstr/>
      </vt:variant>
      <vt:variant>
        <vt:lpwstr>_Toc175828670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Ministerstvo financí České republiky</dc:creator>
  <cp:keywords>fiskální politika, fiskální predikce, výhled, deficit, dluh, fiskální úsilí, fiskální impulz</cp:keywords>
  <cp:lastModifiedBy>Joujová Lucie Ing.</cp:lastModifiedBy>
  <cp:revision>203</cp:revision>
  <cp:lastPrinted>2026-08-31T09:23:00Z</cp:lastPrinted>
  <dcterms:created xsi:type="dcterms:W3CDTF">2026-03-12T14:46:00Z</dcterms:created>
  <dcterms:modified xsi:type="dcterms:W3CDTF">2026-08-31T09:23:00Z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Jazyk">
    <vt:lpwstr>český</vt:lpwstr>
  </property>
  <property fmtid="{D5CDD505-2E9C-101B-9397-08002B2CF9AE}" pid="3" name="Odkaz">
    <vt:lpwstr>http://www.mfcr.cz/fiskalnivyhled</vt:lpwstr>
  </property>
</Properties>
</file>